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BODANSKY BENJÁMIN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benjaminbodansky0@gmail.com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Szabados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Joghatóság és alkalmazandó jog az umbrella clause-on alapuló beruházásvédelmi eljárásokban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Beruházásvédelem; választottbíróság; joghatóság; alkalmazandó jog; vitarendezés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tanulmány célja, hogy a korábbi szakirodalomra és esetjogra építve dogmatikai szemlélettel vizsgálja a joghatóság és alkalmazandó jog kérdését umbrella clause-on alapuló jogvitákban, ezzel megoldást kínálva a gyakran felmerülő joghatósági konfliktusokra is.</w:t>
      </w:r>
      <w:r>
        <w:rPr>
          <w:color w:val="000000"/>
          <w:sz w:val="24"/>
          <w:szCs w:val="24"/>
        </w:rPr>
        <w:br/>
        <w:t xml:space="preserve">Ha az umbrella clause-t egy nemzetközi jogi követelés jogalapjaként közelítjük meg, elérhetővé válik egy konzekvens fogalomrendszer megalkotásának lehetősége. A jogalap feltételez egy meghatározható ténycsoportot, melyek bizonyítása szükséges az igény megnyílásához. E ténybeli körülmények listája jelenti azt a feltételrendszert, amely alapján az umbrella clause joghatóságot biztosít egy követelés elbírálására. A bizonyítandó körülmények két fő elemre oszlanak: ezek a klauzula által lefedett kötelezettségek, valamint ezek megsértése. A kötelezettségek mindenképp az adott beruházáshoz kapcsolódó, az adott beruházóval szemben vállalt tényleges jogi kötelezettségnek kell lenniük. A kötelezettségek mind közhatalmi, mind „közönséges” kereskedelmi jellegű megszegésére kiterjed az umbrella clause hatálya.</w:t>
      </w:r>
      <w:r>
        <w:rPr>
          <w:color w:val="000000"/>
          <w:sz w:val="24"/>
          <w:szCs w:val="24"/>
        </w:rPr>
        <w:br/>
        <w:t xml:space="preserve">Az alkalmazandó jog terén jelen van a nemzetközi jog és a releváns nemzeti jog is, ám a követelés jellegétől függően eltérhet, hogy az elbírálás során melyik lesz hangsúlyosabb. A nemzeti jog „funkcionálisan” ténykérdésként jelenik meg, ám mindig szükséges vizsgálni. Közhatalmi jellegű kötelezettségszegés esetén szükséges, hogy a választottbírósági tanács önálló nemzetközi jogi sztenderdek alapján ítélje meg a fogadó állam cselekményeit. Iure gestionis jellegű jogsértés esetén azonban az umbrella clause-ban foglalt absztrakt tényállás megvalósítása lényegében megegyezik a belső jogi jogsértő magatartással – vagyis egy cselekmény akkor sérti az umbrella clause-t, ha a lex contractus alapján szerződésszegésnek minősül.</w:t>
      </w:r>
      <w:r>
        <w:rPr>
          <w:color w:val="000000"/>
          <w:sz w:val="24"/>
          <w:szCs w:val="24"/>
        </w:rPr>
        <w:br/>
        <w:t xml:space="preserve">Ha a jogvitában releváns szerepet játszanak közhatalmi elemek, akkor az umbrella clause ténylegesen önálló jogalapként jelenik meg, amelynek a releváns nemzeti jogban nincs megfelelője, így indokolt, hogy a követelést a nemzetközi jog alkalmazásával egy nemzetközi fórum bírálja el. „Közönséges” szerződésszegések esetén azonban a szerződésben kijelölt döntéshozó fórumnak és az egyezmény alapján létesített tanácsnak lényegében ugyanazt a követelést kellene elbírálniuk, így nem indokolt megengedni a beruházónak, hogy kikerülje az általa is elfogadott szerződéses vitarendezési mechanizmust.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47366">
    <w:multiLevelType w:val="hybridMultilevel"/>
    <w:lvl w:ilvl="0" w:tplc="61932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47366">
    <w:abstractNumId w:val="721473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591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