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BARANYI TIBOR PÉTER</w:t>
            </w:r>
          </w:p>
          <w:p w:rsidR="00C275A3" w:rsidRDefault="00CA6B74" w:rsidP="00C275A3">
            <w:pPr>
              <w:pStyle w:val="Hallgatokepzes"/>
            </w:pPr>
            <w:r w:rsidRPr="001067CD">
              <w:rPr>
                <w:i/>
              </w:rPr>
              <w:t>baranyitibor01@gmail.com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Kajtár Gábor</w:t>
            </w:r>
          </w:p>
          <w:p w:rsidR="00DB4822" w:rsidRDefault="00DB4822" w:rsidP="00BA6BAF">
            <w:pPr>
              <w:pStyle w:val="Konzulensektitulus"/>
            </w:pPr>
            <w:r w:rsidRPr="00DB4822">
              <w:t>egyetemi 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Erga omnes kötelezettségek a nemzetközi jogban: közösségi érdekek az ICJ gyakorlatában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erga omnes; erga omnes partes; Nemzetközi Bíróság; közösségi érdekek</w:t>
      </w:r>
      <w:r>
        <w:t xml:space="preserve"/>
      </w:r>
    </w:p>
    <w:p>
      <w:pPr>
        <w:widowControl w:val="on"/>
        <w:pBdr/>
        <w:spacing w:before="240" w:after="240" w:line="240" w:lineRule="auto"/>
        <w:ind w:left="0" w:right="0"/>
        <w:jc w:val="left"/>
      </w:pPr>
      <w:r>
        <w:rPr>
          <w:color w:val="000000"/>
          <w:sz w:val="24"/>
          <w:szCs w:val="24"/>
        </w:rPr>
        <w:t xml:space="preserve">A dolgozat az erga omnes és az erga omnes partes kötelezettségek nemzetközi jogi relevanciáját és kereshetőségi jogi aspektusait vizsgálja, különös tekintettel a közösségi érdekek Nemzetközi Bíróság (ICJ) előtt történő kikényszerítésének kérdésére. A dolgozat áttekinti a közösségi érdekek fokozatos térnyerését a nemzetközi jogban, bemutatva, hogy miként alakult át a közösségi érdekek kikényszerítése. Ezek mellett a dolgozat bemutatja a jus cogens, valamint az erga omnes és erga omnes partes kötelezettségek közötti kapcsolatot.</w:t>
      </w:r>
      <w:r>
        <w:rPr>
          <w:color w:val="000000"/>
          <w:sz w:val="24"/>
          <w:szCs w:val="24"/>
        </w:rPr>
        <w:br/>
        <w:t xml:space="preserve">A kutatás az ICJ meghatározó ítéletein keresztül ismerteti az erga omnes és az erga omnes partes kötelezettségek létrejöttét, kikényszerítésének lehetőségeit és az erga omnes és erga omnes partes kötelezettségeken alapuló kereshetőségi jog fejlődését. A dolgozat különböző mérföldkőnek számító ítéletek elemzésével rávilágít arra, hogy miként alakult át a Nemzetközi Bíróság közösségi érdekekhez való hozzáállása, melynek eredményeként napjainkra többször is lehetővé tette a közösségi érdekek érvényesítését eljárásaiban.</w:t>
      </w:r>
      <w:r>
        <w:rPr>
          <w:color w:val="000000"/>
          <w:sz w:val="24"/>
          <w:szCs w:val="24"/>
        </w:rPr>
        <w:br/>
        <w:t xml:space="preserve">Az elemzés során bemutatásra kerül, hogy milyen esetekben beszélhetünk a nemzetközi szerződésekben erga omnes partes kötelezettségekről. A Nemzetközi Bíróság joggyakorlata, valamint a szakirodalmi álláspontok összevetésével egy tesztet állapítottam meg, mely alapján egyértelműen megállapítható egy kötelezettségről, hogy erga omnes partes-nek minősül.</w:t>
      </w:r>
      <w:r>
        <w:rPr>
          <w:color w:val="000000"/>
          <w:sz w:val="24"/>
          <w:szCs w:val="24"/>
        </w:rPr>
        <w:br/>
        <w:t xml:space="preserve">A dolgozat rámutat arra, hogy a Nemzetközi Bíróság immár kész aktív szerepet vállalni a közösségi érdekek kikényszerítésében, elősegítve az államok alapvető közösségi érdekeinek védelmét.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41844">
    <w:multiLevelType w:val="hybridMultilevel"/>
    <w:lvl w:ilvl="0" w:tplc="31427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41844">
    <w:abstractNumId w:val="288418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288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