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BEZNOSZKA IGOR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beznoszkaigor@gmail.com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Kajtár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Quo vadis immunitás? A felelősség és a büntethetetlenség küzdelme a 21. században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immunitás; Nemzetközi Büntetőbíróság; Nemzetközi Bíróság; jus cogens; Római Statútum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Quo vadis immunitás?</w:t>
      </w:r>
      <w:r>
        <w:rPr>
          <w:color w:val="000000"/>
          <w:sz w:val="24"/>
          <w:szCs w:val="24"/>
        </w:rPr>
        <w:br/>
        <w:t xml:space="preserve">A felelősség és a büntethetetlenség küzdelme a 21. században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az államok és állami képviselők nemzetközi büntethetetlenségének kihívásait elemzi a 21. században, amikor az emberi jogi normák előretörése és az igazságszolgáltatás iránti igény egyre inkább szembehelyezkedik a tradicionális immunitás szabályaival. Elemzésem bemutatja a tendenciáit, amelyből az immunitás korlátozása és a felelősségre vonás előtérbe kerülése tükröződik. Mindezt pedig szokásjogi úton bizonyítom a releváns esetjog és állami gyakorlat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Vizsgálatom elsőkörben hangsúlyozza, hogy a funkcionális immunitás (ratione materiae) mára nem nyújt büntethetetlenséget állami tisztségviselők számára, akik hivatalos minőségük mögé próbálnak rejtőzni a felelősségre vonás elkerülése érdekében. Ezt a változást a súlyos nemzetközi bűncselekmények esetében az univerzális joghatóságot megalapozó nemzetközi egyezmények támasztják alá, amelyek előírják az egyéni felelősségre vonást a hivatalos minőségben elkövetett tettek esetén is. Az elemzésem tartalmazza az összes olyan döntést, amelyben ez megerősítésre került. Ezzel bizonyítva az immunitás doktrínájának átalakulásának szokásjogi vetületét. A jus cogens normák és az immunitás viszonyrendszerének összehasonlítása során is alátámasztom ezt a következtetést. Ugyanakkor nem aláásva a jus cogens normák dogmatikai alapjait.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második felében a személyhez kötődő ratione personae immunitást vizsgálva jutok arra a következtetésre, hogy a Nemzetközi Büntetőbíróság (ICC) gyakorlatában nem áll meg a személyhez tapadó immunitás. Így nem eredményezve büntethetetlenséget. Az ICC gyakorlatát aktuális nemzetközi büntetőjogi konfliktusra vetítem (Vlagyimir Putyin elleni elfogatóparancs), amelynek során kijelentem, hogy feloldható a konfliktus az ICC és a nem tagállam államfőjével szemben kibocsátott elfogatóparancs jogszerűsége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60248">
    <w:multiLevelType w:val="hybridMultilevel"/>
    <w:lvl w:ilvl="0" w:tplc="12015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60248">
    <w:abstractNumId w:val="376602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69899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