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BIRÓ-MARKOVICS DÁNIEL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biromarkovics@gmail.com</w:t>
            </w:r>
            <w:r w:rsidRPr="001067CD">
              <w:rPr>
                <w:i/>
              </w:rPr>
              <w:br/>
            </w:r>
            <w:r w:rsidR="00A96AEC">
              <w:t>jogász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Kecső Gábor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ELTE ÁJK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Kukorelli István</w:t>
            </w:r>
          </w:p>
          <w:p w:rsidR="00DB4822" w:rsidRDefault="00DB4822" w:rsidP="00BA6BAF">
            <w:pPr>
              <w:pStyle w:val="Konzulensektitulus"/>
            </w:pPr>
            <w:r w:rsidRPr="00DB4822">
              <w:t>professor emeritus, ELTE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német Schuldenbremse és a magyar államadósságfék-szabályozás komparatív pénzügyi alkotmányjogi elemzése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adósságfék; államadósság; Németország; alkotmánybíróság; költségvetés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Gazdatüntetések, excesszív fogyasztóiár-emelkedés, maastrichti konvergenciakritériumok – igen gyakorta találkozik az ember ezekkel a kifejezésekkel a sajtóban, kevesekben realizálódik azonban, hogy valamilyen formában mindegyik a költségvetési gazdálkodás fogalmához kapcsolódik. A 2007–2008-as gazdasági világválság után új szabályozás lépett életbe Európa több országában is: a fő kérdés ugyanis az volt, hogyan lehet fenntartható költségvetési gazdálkodást realizálni az államháztartás nagy mértékű eladósodottsága mellett. A válasz egyértelmű volt: csökkenteni kell az államadósságot. Tág eszközkészlet áll rendelkezésére a jogalkotónak, hogy kezelje a problémát – ennek szellemében született a német Schuldenbremse és a magyar államadósságfék-szabályozás is. Az elmúlt időszakban mégis számos probléma akadt mindkét ország költségvetési politikájában – legyen szó a Schuldenbremse által közvetetten kiváltott gazdatüntetésekről, vagy épp a nagy mértékű magyarországi fogyasztóiár-emelkedésről. Dolgozatom ennek okán a Magyarország jogi kultúrájához közel álló, a kérdéskörben ugyancsak érintett Németország szabályozását vetette össze a magyarral egy összehasonlító pénzügyi alkotmányjogi elemzés keretében, kitérve a specifikus adósságfék-szabályozások európai háttérnormáira, a két ország költségvetési gazdálkodásának alapelveire, az ebbéli gazdálkodásukat intézményesített formában ellenőrző szerveik sajátosságaira, valamint természetesen magukra a szabályozásokra és mentesítő záradékaikra is, hogy megvizsgálja: melyik szabályozásnak milyen előnyei és hátrányai léteznek, azok hatékonyak-e az államadósság-ráta problematikájának adresszálásához. A dolgozat mindemellett kísérletet tesz a magyar szabályozás értelmezésére a német Szövetségi Alkotmánybíróság gyakorlata alapján, de lege ferenda javaslatot fogalmazva meg a magyar jogalkotó számára. A dolgozat legnagyobb eredménye a releváns jogszabályok és szakirodalom egy helyen, komparatív pénzügyi alkotmányjogi elemzés keretein belül történő összefoglalása mellett kétségkívül a Schuldenbremsére vonatkozó teljes német alkotmánybírósági gyakorlat feldolgozása.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1094800">
    <w:multiLevelType w:val="hybridMultilevel"/>
    <w:lvl w:ilvl="0" w:tplc="747790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1094800">
    <w:abstractNumId w:val="2109480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6113820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