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PARRAG LEVENTE LAJOS</w:t>
            </w:r>
          </w:p>
          <w:p w:rsidR="00C275A3" w:rsidRDefault="00CA6B74" w:rsidP="00C275A3">
            <w:pPr>
              <w:pStyle w:val="Hallgatokepzes"/>
            </w:pPr>
            <w:r w:rsidRPr="001067CD">
              <w:rPr>
                <w:i/>
              </w:rPr>
              <w:t>leventeparrag@gmail.com</w:t>
            </w:r>
            <w:r w:rsidRPr="001067CD">
              <w:rPr>
                <w:i/>
              </w:rPr>
              <w:br/>
            </w:r>
            <w:r w:rsidR="00A96AEC">
              <w:t>jogász</w:t>
            </w:r>
            <w:r w:rsidR="00A96AEC">
              <w:br/>
            </w:r>
            <w:r w:rsidR="00E77B23">
              <w:t>Osztatlan, 9. félév</w:t>
            </w:r>
          </w:p>
          <w:p w:rsidR="00C265CE" w:rsidRPr="009E5FF1" w:rsidRDefault="00E77B23" w:rsidP="00BA6BAF">
            <w:pPr>
              <w:pStyle w:val="Hallgatointezmeny-kar"/>
              <w:rPr>
                <w:b/>
                <w:caps/>
              </w:rPr>
            </w:pPr>
            <w:r>
              <w:t>Eötvös Loránd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Gárdos Péter</w:t>
            </w:r>
          </w:p>
          <w:p w:rsidR="00DB4822" w:rsidRDefault="00DB4822" w:rsidP="00BA6BAF">
            <w:pPr>
              <w:pStyle w:val="Konzulensektitulus"/>
            </w:pPr>
            <w:r w:rsidRPr="00DB4822">
              <w:t>habilitált egyetemi docens,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harmadik személyt megillető megtérítési igény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harmadik személy általi teljesítés; megtérítési igény; törvényi engedmény;</w:t>
      </w:r>
      <w:r>
        <w:t xml:space="preserve"/>
      </w:r>
    </w:p>
    <w:p>
      <w:pPr>
        <w:widowControl w:val="on"/>
        <w:pBdr/>
        <w:spacing w:before="240" w:after="240" w:line="240" w:lineRule="auto"/>
        <w:ind w:left="0" w:right="0"/>
        <w:jc w:val="left"/>
      </w:pPr>
      <w:r>
        <w:rPr>
          <w:color w:val="000000"/>
          <w:sz w:val="24"/>
          <w:szCs w:val="24"/>
        </w:rPr>
        <w:t xml:space="preserve">A harmadik személy általi teljesítés és annak jogkövetkezménye egy viszonylag érintetlen terület a kortárs magyar jogtudomány világában. E jogintézmény érintetlensége nehezen érthető, hiszen jelentőségéhez nem fér kétség. A felmerülő kérdés ugyanis az, hogy egy harmadik személy teljesítheti-e más valakinek a kötelezettségét, ha igen, mikor, illetve a kötelezett meg tudja-e ezt akadályozni. E kérdés a hatályos Ptk. alapján nem válaszolható meg egyértelműen. Megjegyzem, már önmagában az alanyi kör is kérdéses, hiszen nem tudni, a Ptk. 6:57. §-a alapján ki minősül harmadik személynek. Kifogásolható továbbá a harmadik személy általi teljesítés jogkövetkezményeinek hatályos szabályozása is. A teljesítés által létrejövő megtérítési igény tartalmáról ugyanis nem szól a Ptk. A törvényi engedmény visszahozatalával pedig anélkül kumulálta a harmadik személy követeléseit a jogalkotó, hogy azok egymáshoz való viszonyát rendezte volna. E jogbizonytalan helyzet megítélésem szerint könnyen kihasználható. Ha ugyanis a harmadik személy és a jogosult között érdekazonosság van, e jogbizonytalanságokat akár a kötelezett hátrányára is fel lehet használni, de hasonló negatív eredményre vezethet önmagában egy rosszhiszemű harmadik személy eljárása is. Megítélésem szerint az általam feltárt problémák megfelelő szabályozást indokolnak, ezért dolgozatomban több de lege ferenda javaslatot is megfogalmaztam. Nem gondolom, hogy van objektíve jó választás, abban azonban biztos vagyok, hogy a hatályos szabályok nem megfelelőek és azokon változtatni kell. Az általam feltárt szabályozási irányok alapjául szolgálhatnak az ezzel kapcsolatos diszkussziónak.</w:t>
      </w:r>
    </w:p>
    <w:p>
      <w:pPr>
        <w:widowControl w:val="on"/>
        <w:pBdr/>
        <w:spacing w:before="240" w:after="240" w:line="240" w:lineRule="auto"/>
        <w:ind w:left="0" w:right="0"/>
        <w:jc w:val="left"/>
      </w:pPr>
      <w:r>
        <w:rPr>
          <w:color w:val="000000"/>
          <w:sz w:val="24"/>
          <w:szCs w:val="24"/>
        </w:rPr>
        <w:t xml:space="preserve">Megítélésem szerint dolgozatom hiánypótló, hiszen kifejezetten ezzel a témával az elmúlt évtizedekben senki sem foglalkozott ilyen mélységben. A magyar jogtörténetet részletes vizsgálatát is ez indokolta. Rengeteg jogtudós álláspontját vizsgáltam és gyakorlatilag nem találtam két azonosat. Már önmagában ezt jelzőértékűnek gondolom a dolgozatom relevanciáját illetően. A saját álláspontomat nem gondolom kikezdhetetlennek, de érvelhetőnek mindenképpen.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729099">
    <w:multiLevelType w:val="hybridMultilevel"/>
    <w:lvl w:ilvl="0" w:tplc="802834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729099">
    <w:abstractNumId w:val="747290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46923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