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SPILLER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peti.spiller@gmail.com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Fuglinszky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Elkötelező és rendelkező ügylet – együtt, mégis külön?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tulajdonátruházás; absztrakciós elv; elválasztó elv; elkötelező ügylet; rendelkező ügylet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vizsgálódás kiindulópontját a német magánjog alapelvei adják: az elválasztó és az absztrakciós elv. Tulajdonátruházás esetén az előbbi kettéválasztja a kötelmi jellegű, elkötelező, valamint a dologi jellegű, rendelkező jogügyletet. Az utóbbi értelmében pedig a két jogügylet érvényessége egymástól független: érvénytelen elkötelező ügylet nem vonja magával automatikusan a rendelkező ügylet érvénytelenségét.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alapvetően azt szándékozza feltárni, hogy ezen két alapelv mentén hogyan közelíti meg a német jog a dologi, illetve kötelmi jogi intézményeket. A vizsgálódás többek között kitér a tulajdonjog átruházásának módjára, a nemtulajdonostól való szerzés követelményeire, az értékesítési láncolatok szervezésének módjaira – különös tekintettel a tulajdonjog-fenntartás intézményére, valamint a kárveszélyviselés szabályaira és a jogügyletek érvénytelenségének következményeire.</w:t>
      </w:r>
      <w:r>
        <w:rPr>
          <w:color w:val="000000"/>
          <w:sz w:val="24"/>
          <w:szCs w:val="24"/>
        </w:rPr>
        <w:br/>
        <w:br/>
        <w:t xml:space="preserve">A vizsgálódás központi eleme azonban az absztrakt és kauzális tulajdonátruházási rendszerek közötti különbségek azonosítása volt. Arra a kérdésre kereste a választ, hogy melyik rendszer – az absztrakt vagy a kauzális – tudja jobban kielégíteni a modern kereskedelmi igényeket. A kérdésfeltevés pedig egy érdekellentét mentén fut: a tulajdonos tulajdonhoz fűződő érdeke ütközik az általánosságban vett forgalombiztonsághoz fűződő érdekkel. A tulajdonátruházási rendszer melletti döntés pedig egy ebből fakadó jogalkotói értékválasztást hordoz önmagában, amelyet a többi jogintézmény által igyekszik ellensúlyozni.</w:t>
      </w:r>
      <w:r>
        <w:rPr>
          <w:color w:val="000000"/>
          <w:sz w:val="24"/>
          <w:szCs w:val="24"/>
        </w:rPr>
        <w:br/>
        <w:br/>
        <w:t xml:space="preserve">Az absztrakciós elv egyértelműen a forgalombiztonságot részesíti előnyben. Éppen ezért a német kereskedelmi forgalom elsődleges célja a tulajdonos saját érdekének érvényre juttatása volt. Ezt mindenekelőtt a tulajdonjog-fenntartás intézményében találta legmegfelelőbbnek, amely azonban az értékesítő gazdasági mozgásterét túlzottan korlátozza. A német jog ezt az absztrakciós elv áttörésével igyekezte keretek közé szorítani, amelyet elsősorban a jogügyletek érvénytelensége körében figyelhetünk meg.</w:t>
      </w:r>
      <w:r>
        <w:rPr>
          <w:color w:val="000000"/>
          <w:sz w:val="24"/>
          <w:szCs w:val="24"/>
        </w:rPr>
        <w:br/>
        <w:br/>
        <w:t xml:space="preserve">Ezzel szemben a kauzális rendszer a tulajdonos tulajdonhoz fűződő érdekét részesíti előnyben. A jogrendszer ezen értékválasztását azonban hatékonyabban tudja kompenzálni: a nemtulajdonostól való szerzés törvényi tényállása kevezőbb feltételek mellett töri át a nemo plus iuris elvét. Ezek mellett a magyar jog lehetővé teszi a forgalmazási szerződés mint sui generis szerződéstípus elismerését, amely az értékesítési láncok hatékony, méltányos, ámde ösztönző szervezését garantálja.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20743">
    <w:multiLevelType w:val="hybridMultilevel"/>
    <w:lvl w:ilvl="0" w:tplc="87572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20743">
    <w:abstractNumId w:val="479207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824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