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KHEZRI DÁRIA TEREZA</w:t>
            </w:r>
          </w:p>
          <w:p w:rsidR="00C275A3" w:rsidRDefault="00CA6B74" w:rsidP="00C275A3">
            <w:pPr>
              <w:pStyle w:val="Hallgatokepzes"/>
            </w:pPr>
            <w:r w:rsidRPr="001067CD">
              <w:rPr>
                <w:i/>
              </w:rPr>
              <w:t>k.daria2001@gmail.com</w:t>
            </w:r>
            <w:r w:rsidRPr="001067CD">
              <w:rPr>
                <w:i/>
              </w:rPr>
              <w:br/>
            </w:r>
            <w:r w:rsidR="00A96AEC">
              <w:t>International Public Management </w:t>
            </w:r>
            <w:r w:rsidR="00A96AEC">
              <w:br/>
            </w:r>
            <w:r w:rsidR="00E77B23">
              <w:t>BA, 5.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Hárs András</w:t>
            </w:r>
          </w:p>
          <w:p w:rsidR="00DB4822" w:rsidRDefault="00DB4822" w:rsidP="00BA6BAF">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oktatás ereje: Az iráni nők oktatási jogainak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Irán; nők; oktatáspolitika; egyenlőség;</w:t>
      </w:r>
      <w:r>
        <w:t xml:space="preserve"/>
      </w:r>
    </w:p>
    <w:p>
      <w:pPr>
        <w:widowControl w:val="on"/>
        <w:pBdr/>
        <w:spacing w:before="240" w:after="240" w:line="240" w:lineRule="auto"/>
        <w:ind w:left="0" w:right="0"/>
        <w:jc w:val="left"/>
      </w:pPr>
      <w:r>
        <w:rPr>
          <w:color w:val="000000"/>
          <w:sz w:val="24"/>
          <w:szCs w:val="24"/>
        </w:rPr>
        <w:t xml:space="preserve">A dolgozat az iráni nők oktatási jogainak fejlődését vizsgálja, különös tekintettel arra, hogyan befolyásolják a nemzetközi jogi keretek, az állami jogszabályok és a társadalmi normák a nők oktatáshoz való hozzáférését és tapasztalatait. Az iráni nők oktatásának kérdése összetett, mivel az ország szociopolitikai háttere, különösen az 1979-es forradalom után, jelentősen alakította az oktatáspolitikát és a nemek közötti egyenlőség kérdését. A dolgozat elemzi a nemzetközi jogi eszközöket, mint az Egyesült Nemzetek Emberi Jogi Nyilatkozatát, a Gazdasági, Szociális és Kulturális Jogok Nemzetközi Egyezségokmányát (ICESCR), valamint a Nők Elleni Diszkrimináció Minden Formájának Felszámolásáról szóló Egyezményt (CEDAW). Emellett értékeli Irán alkotmányának vonatkozó cikkelyeit és az ország részvételét a nemzetközi emberi jogi mechanizmusokban, például az Egyetemes Időszakos Felülvizsgálat (UPR) folyamataiban. A kutatás több módszertant ötvöz, kombinálva a jogi, történeti és statisztikai elemzéseket. Az írástudási és beiratkozási statisztikák vizsgálata mellett a dolgozat feltárja az 1979-es forradalom előtti és utáni oktatáspolitikai változásokat, valamint azokat a társadalmi és kulturális tényezőket, amelyek hatással vannak a nők oktatási lehetőségeire. Az eredmények azt mutatják, hogy bár az iráni nők oktatási mutatói javultak az elmúlt évtizedekben—az írástudás és az egyetemi beiratkozás aránya jelentősen növekedett—, még mindig számos akadály áll fenn, amelyek korlátozzák a nők egyenlő oktatási lehetőségeit. A dolgozat rávilágít arra, hogy a vallási alapokon nyugvó jogi és kulturális normák, amelyek az iszlám értékrendszer részét képezik, továbbra is gátolják a nők teljes egyenlőségét az oktatásban. Annak ellenére, hogy a nők aránya a felsőoktatásban meghaladja a férfiakét, a foglalkoztatás és a társadalmi mobilitás terén fennálló nemi egyenlőtlenségek továbbra is jelentős problémát jelentenek.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19576">
    <w:multiLevelType w:val="hybridMultilevel"/>
    <w:lvl w:ilvl="0" w:tplc="90288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19576">
    <w:abstractNumId w:val="52019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733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