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BŐNYEI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asdofred@gmail.com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Hajnal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közvetítő szolgáltatók szerepe és felelőssége az Európai Unió digitális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egységes digitális piac; közvetítő szolgáltatók; piaci erőfölény; Digital Markets Act; Digital Services Act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digitális piacán a közvetítő szolgáltatók szerepe és felelőssége napjainkra kardinálissá vált. Az online tér innovációja és a digitális szolgáltatások térnyerése miatt az Unió szabályozási stratégiái jelentős átalakuláson mentek keresztül az ezredfordulóhoz képest. A dolgozat a digitalizáció kihívásaira, a piaci egyenlőtlenségek csökkentésére, a jogellenes tartalmak kezelésének fontosságát vizsgálja, a piacon uralkodó szereplőkön keresztül.</w:t>
      </w:r>
      <w:r>
        <w:rPr>
          <w:color w:val="000000"/>
          <w:sz w:val="24"/>
          <w:szCs w:val="24"/>
        </w:rPr>
        <w:br/>
        <w:br/>
        <w:t xml:space="preserve">A dolgozat központi kérdésben szerepel az Európai Unió szerveinek célkitűzései a digitális piac koordinálásában és a piaci erőfölény leküzdésében, az e-kereskedelmi irányelv szerepe és az ezzel összefüggő nemzeti jogharmonizációs törekvések, az új szabályozások, mint a Digital Services Act és Digital Markets Act, amelyeket kifejezetten a „nagyon nagy online platformok” és „kapuőrök” piaci helyzetének féken tartására alkottak. A kutatás utolsó fejezete a nemzetközi viszonyokat taglalja, a belső digitális piacot uraló ázsiai és amerikai tech-vállalatok kapcsán.</w:t>
      </w:r>
      <w:r>
        <w:rPr>
          <w:color w:val="000000"/>
          <w:sz w:val="24"/>
          <w:szCs w:val="24"/>
        </w:rPr>
        <w:br/>
        <w:br/>
        <w:t xml:space="preserve">A téma további jelentőségét jogi és gazdasági problémák megfogalmazása, bírósági ítéletek, jogalkotási folyamatok, és statisztikai adatok is igazolják.</w:t>
      </w:r>
      <w:r>
        <w:rPr>
          <w:color w:val="000000"/>
          <w:sz w:val="24"/>
          <w:szCs w:val="24"/>
        </w:rPr>
        <w:br/>
        <w:br/>
        <w:t xml:space="preserve">A kutatás rávilágít arra, hogy a mindennapjainkban használt platformok hatékony felügyelete és szabályozása nélkülözhetetlen az Európai Unió belső piacának stabilitásához. Ahhoz, hogy az Európai Unió megvédje piaci érdekeit és fenntartsa a „Brüsszel hatás” status quo-ját elengedhetetlen, hogy a digitális piacon lényeges belépési pontokat uraló közvetítőkre nézve megalkossa a megfelelő szabályozási keretet és az erre vonatkozó jogszabályokat kifogástalanul végrehajtsák.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71534">
    <w:multiLevelType w:val="hybridMultilevel"/>
    <w:lvl w:ilvl="0" w:tplc="55483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71534">
    <w:abstractNumId w:val="10171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704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