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TIETZE</w:t>
            </w:r>
          </w:p>
          <w:p w:rsidR="00C275A3" w:rsidRDefault="00CA6B74" w:rsidP="00C275A3">
            <w:pPr>
              <w:pStyle w:val="Hallgatokepzes"/>
            </w:pPr>
            <w:r w:rsidRPr="001067CD">
              <w:rPr>
                <w:i/>
              </w:rPr>
              <w:t>tietzehanna@gmail.com</w:t>
            </w:r>
            <w:r w:rsidRPr="001067CD">
              <w:rPr>
                <w:i/>
              </w:rPr>
              <w:br/>
            </w:r>
            <w:r w:rsidR="00A96AEC">
              <w:t>International Business and Economics </w:t>
            </w:r>
            <w:r w:rsidR="00A96AEC">
              <w:br/>
            </w:r>
            <w:r w:rsidR="00E77B23">
              <w:t>MSc, 1.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ESZTER TORY</w:t>
            </w:r>
          </w:p>
          <w:p w:rsidR="00DB4822" w:rsidRDefault="00CA6B74" w:rsidP="004D7940">
            <w:pPr>
              <w:pStyle w:val="Hallgatokepzes"/>
            </w:pPr>
            <w:r w:rsidRPr="001067CD">
              <w:rPr>
                <w:i/>
              </w:rPr>
              <w:t>toryeszter@gmail.com</w:t>
            </w:r>
            <w:bookmarkStart w:id="1" w:name="_GoBack"/>
            <w:bookmarkEnd w:id="1"/>
            <w:r w:rsidRPr="001067CD">
              <w:br/>
            </w:r>
            <w:r w:rsidR="00C275A3">
              <w:t>International Business and Economics</w:t>
            </w:r>
            <w:r w:rsidR="00A96AEC">
              <w:br/>
              <w:t>MSc, 1. semester</w:t>
            </w:r>
          </w:p>
          <w:p w:rsidR="00DB4822" w:rsidRDefault="00DB4822" w:rsidP="004D7940">
            <w:pPr>
              <w:pStyle w:val="Hallgatointezmeny-kar"/>
            </w:pPr>
            <w:r>
              <w:t>Budapest Metropolitan University</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Neszveda</w:t>
            </w:r>
          </w:p>
          <w:p w:rsidR="00DB4822" w:rsidRDefault="00DB4822" w:rsidP="00BA6BAF">
            <w:pPr>
              <w:pStyle w:val="Konzulensektitulus"/>
            </w:pPr>
            <w:r w:rsidRPr="00DB4822">
              <w:t>Associate Professor,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POLITIKAI VÁLTÁSOK ÉS RÉSZVÉNYÁRFOLYAMOK: AZ AMERIKAI KORMÁNYZAT HATÁSÁNAK ELEMZÉSE POLITICAL TRANSITIONS AND STOCK PRICES: ASSESSING THE EFFECTS OF US ADMINISTRATION POLICIES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finance; political uncertainty; US party politics</w:t>
      </w:r>
      <w:r>
        <w:t xml:space="preserve"/>
      </w:r>
    </w:p>
    <w:p>
      <w:pPr>
        <w:widowControl w:val="on"/>
        <w:pBdr/>
        <w:spacing w:before="240" w:after="240" w:line="240" w:lineRule="auto"/>
        <w:ind w:left="0" w:right="0"/>
        <w:jc w:val="left"/>
      </w:pPr>
      <w:r>
        <w:rPr>
          <w:color w:val="000000"/>
          <w:sz w:val="24"/>
          <w:szCs w:val="24"/>
        </w:rPr>
        <w:t xml:space="preserve">Our study examines the impact of political uncertainty and the political regime on financial markets using data from the United States. The impact of political uncertainty is broken down into several research topics, including the difference between expected and actual realised returns under two different US regimes, and the specificities of the economic policy regime and its proponent ideology that cause financial markets to perform better under one regime. In addition, we use a secondary literature search to investigate the impact of the political lobby, the different years of the cycle, and sectoral outlier values under the different regimes. By examining the political impact, we aim to provide a forecast of the evolution of financial markets in the US elections in November by outlining two possible outcomes. Our hypothesis is that the government in power in the US, be it Republican or Democrat, has a significant impact on stock prices, with different degrees and directions of impact across sectors and industries. </w:t>
      </w:r>
    </w:p>
    <w:p>
      <w:pPr>
        <w:widowControl w:val="on"/>
        <w:pBdr/>
        <w:spacing w:before="240" w:after="240" w:line="240" w:lineRule="auto"/>
        <w:ind w:left="0" w:right="0"/>
        <w:jc w:val="left"/>
      </w:pPr>
      <w:r>
        <w:rPr>
          <w:color w:val="000000"/>
          <w:sz w:val="24"/>
          <w:szCs w:val="24"/>
        </w:rPr>
        <w:t xml:space="preserve">Both the CAPM and our Fama-French three-factor model show that the market performs significantly better under Democrats than under Republicans.This is also supported by the literature, which shows that under Democrats, more favourable market conditions are generally expected for equity investors. Thus, the election of a political party has an impact on the stock market and firms generally have higher excess returns over risk-free rates of return under Democrats than under Republican regimes.</w:t>
      </w:r>
    </w:p>
    <w:p>
      <w:pPr>
        <w:widowControl w:val="on"/>
        <w:pBdr/>
        <w:spacing w:before="240" w:after="240" w:line="240" w:lineRule="auto"/>
        <w:ind w:left="0" w:right="0"/>
        <w:jc w:val="left"/>
      </w:pPr>
      <w:r>
        <w:rPr>
          <w:color w:val="000000"/>
          <w:sz w:val="24"/>
          <w:szCs w:val="24"/>
        </w:rPr>
        <w:t xml:space="preserve">Understanding the market reactions to political decisions and events is essential for investors, economic policy makers and financial analysts to make informed decisions and effectively manage political risk. Our study aims to provide a more comprehensive picture to better understand the relationship between political regimes and stock prices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17775">
    <w:multiLevelType w:val="hybridMultilevel"/>
    <w:lvl w:ilvl="0" w:tplc="59120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17775">
    <w:abstractNumId w:val="79817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290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