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 LILLA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dolilla02@gmail.com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Csűrös Gabriella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"Dura lex, sed lex" Az ingatlanvégrehajtás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ingatlanvégrehajtás, bírósági végrehajtó, adóhatóság, becsérték, árverés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végrehajtás társadalmi elfogadottsága alacsony, alkalmazása elengedhetetlen a</w:t>
      </w:r>
      <w:r>
        <w:rPr>
          <w:color w:val="000000"/>
          <w:sz w:val="24"/>
          <w:szCs w:val="24"/>
        </w:rPr>
        <w:br/>
        <w:t xml:space="preserve">közhatalom gyakorlásához és a gazdaság hatékony működéséhez. Szükségességét a</w:t>
      </w:r>
      <w:r>
        <w:rPr>
          <w:color w:val="000000"/>
          <w:sz w:val="24"/>
          <w:szCs w:val="24"/>
        </w:rPr>
        <w:br/>
        <w:t xml:space="preserve">közfeladatok ellátásának fedezetéül szolgáló költségvetési bevételek beszedéséhez, valamint a</w:t>
      </w:r>
      <w:r>
        <w:rPr>
          <w:color w:val="000000"/>
          <w:sz w:val="24"/>
          <w:szCs w:val="24"/>
        </w:rPr>
        <w:br/>
        <w:t xml:space="preserve">magántulajdon védelméhez és a pénzügyi rendszer stabilitásához fűződő érdek adja.</w:t>
      </w:r>
      <w:r>
        <w:rPr>
          <w:color w:val="000000"/>
          <w:sz w:val="24"/>
          <w:szCs w:val="24"/>
        </w:rPr>
        <w:br/>
        <w:t xml:space="preserve">A kutatás a bírósági végrehajtás és az adóvégrehajtás keretében foganatosított ingatlan-</w:t>
      </w:r>
      <w:r>
        <w:rPr>
          <w:color w:val="000000"/>
          <w:sz w:val="24"/>
          <w:szCs w:val="24"/>
        </w:rPr>
        <w:br/>
        <w:t xml:space="preserve">végrehajtás hazai szabályozását és kialakult joggyakorlatát vizsgálja összehasonlító jelleggel.</w:t>
      </w:r>
      <w:r>
        <w:rPr>
          <w:color w:val="000000"/>
          <w:sz w:val="24"/>
          <w:szCs w:val="24"/>
        </w:rPr>
        <w:br/>
        <w:t xml:space="preserve">A kutatási téma több jogágat is érint, mivel a pénzügyi jog tárgykörébe tartozó adóvégrehajtás</w:t>
      </w:r>
      <w:r>
        <w:rPr>
          <w:color w:val="000000"/>
          <w:sz w:val="24"/>
          <w:szCs w:val="24"/>
        </w:rPr>
        <w:br/>
        <w:t xml:space="preserve">mellett a polgári eljárásjog keretében tárgyalt bírósági végrehajtás normarendszere is a kutatás</w:t>
      </w:r>
      <w:r>
        <w:rPr>
          <w:color w:val="000000"/>
          <w:sz w:val="24"/>
          <w:szCs w:val="24"/>
        </w:rPr>
        <w:br/>
        <w:t xml:space="preserve">tárgya. A téma feldolgozásának időbeli horizontja alapvetően a jelenlegi szabályozást és a</w:t>
      </w:r>
      <w:r>
        <w:rPr>
          <w:color w:val="000000"/>
          <w:sz w:val="24"/>
          <w:szCs w:val="24"/>
        </w:rPr>
        <w:br/>
        <w:t xml:space="preserve">kapcsolódó gyakorlatot fedi le, azonban az elmúlt évtized alapvető szervezeti, hatásköri</w:t>
      </w:r>
      <w:r>
        <w:rPr>
          <w:color w:val="000000"/>
          <w:sz w:val="24"/>
          <w:szCs w:val="24"/>
        </w:rPr>
        <w:br/>
        <w:t xml:space="preserve">változásainak bemutatása azt kiterjeszti, jogtörténeti elemzésnek is helyt adva.</w:t>
      </w:r>
      <w:r>
        <w:rPr>
          <w:color w:val="000000"/>
          <w:sz w:val="24"/>
          <w:szCs w:val="24"/>
        </w:rPr>
        <w:br/>
        <w:t xml:space="preserve">A dolgozat a végrehajtási eljárások általános szabályainak lényegét, valamint az ingatlan-</w:t>
      </w:r>
      <w:r>
        <w:rPr>
          <w:color w:val="000000"/>
          <w:sz w:val="24"/>
          <w:szCs w:val="24"/>
        </w:rPr>
        <w:br/>
        <w:t xml:space="preserve">végrehajtás részletszabályait, az eljárási cselekményeket szakaszolva, az egyes szakaszokat</w:t>
      </w:r>
      <w:r>
        <w:rPr>
          <w:color w:val="000000"/>
          <w:sz w:val="24"/>
          <w:szCs w:val="24"/>
        </w:rPr>
        <w:br/>
        <w:t xml:space="preserve">pedig a bírósági és az adóvégrehajtásra is tekintettel, párhuzamosan és összehasonlító</w:t>
      </w:r>
      <w:r>
        <w:rPr>
          <w:color w:val="000000"/>
          <w:sz w:val="24"/>
          <w:szCs w:val="24"/>
        </w:rPr>
        <w:br/>
        <w:t xml:space="preserve">jelleggel mutatja be.</w:t>
      </w:r>
      <w:r>
        <w:rPr>
          <w:color w:val="000000"/>
          <w:sz w:val="24"/>
          <w:szCs w:val="24"/>
        </w:rPr>
        <w:br/>
        <w:t xml:space="preserve">A kutatás hipotézise, hogy bár a bírósági és a közigazgatási végrehajtás jól elhatárolható,</w:t>
      </w:r>
      <w:r>
        <w:rPr>
          <w:color w:val="000000"/>
          <w:sz w:val="24"/>
          <w:szCs w:val="24"/>
        </w:rPr>
        <w:br/>
        <w:t xml:space="preserve">elkülönült és önálló eljárás, mégis több ponton és több szempontból összefonódó rendet</w:t>
      </w:r>
      <w:r>
        <w:rPr>
          <w:color w:val="000000"/>
          <w:sz w:val="24"/>
          <w:szCs w:val="24"/>
        </w:rPr>
        <w:br/>
        <w:t xml:space="preserve">alkotnak.</w:t>
      </w:r>
      <w:r>
        <w:rPr>
          <w:color w:val="000000"/>
          <w:sz w:val="24"/>
          <w:szCs w:val="24"/>
        </w:rPr>
        <w:br/>
        <w:t xml:space="preserve">Noha az elmúlt évtized szervezetrendszert érintő változásai az állami adóhatóság</w:t>
      </w:r>
      <w:r>
        <w:rPr>
          <w:color w:val="000000"/>
          <w:sz w:val="24"/>
          <w:szCs w:val="24"/>
        </w:rPr>
        <w:br/>
        <w:t xml:space="preserve">dominanciáját erősítették, az eljárásjogi szabályozás a bírósági végrehajtás primátusát</w:t>
      </w:r>
      <w:r>
        <w:rPr>
          <w:color w:val="000000"/>
          <w:sz w:val="24"/>
          <w:szCs w:val="24"/>
        </w:rPr>
        <w:br/>
        <w:t xml:space="preserve">mutatja, mely megmutatkozik részben abban, hogy az adóeljárás mögöttes szabálya a bírósági</w:t>
      </w:r>
      <w:r>
        <w:rPr>
          <w:color w:val="000000"/>
          <w:sz w:val="24"/>
          <w:szCs w:val="24"/>
        </w:rPr>
        <w:br/>
        <w:t xml:space="preserve">végrehajtásról szóló 1994. évi LIII. törvény is. Emellett a bírósági végrehajtás primátusa</w:t>
      </w:r>
      <w:r>
        <w:rPr>
          <w:color w:val="000000"/>
          <w:sz w:val="24"/>
          <w:szCs w:val="24"/>
        </w:rPr>
        <w:br/>
        <w:t xml:space="preserve">abban is megmutatkozik, hogy ha a hatásköri összeütközés különböző esetei valósulnak meg,</w:t>
      </w:r>
      <w:r>
        <w:rPr>
          <w:color w:val="000000"/>
          <w:sz w:val="24"/>
          <w:szCs w:val="24"/>
        </w:rPr>
        <w:br/>
        <w:t xml:space="preserve">az eljárást főszabály szerint bírósági végrehajtás útján kell folytatni. Különösen igaz ez a</w:t>
      </w:r>
      <w:r>
        <w:rPr>
          <w:color w:val="000000"/>
          <w:sz w:val="24"/>
          <w:szCs w:val="24"/>
        </w:rPr>
        <w:br/>
        <w:t xml:space="preserve">dolgozat tárgyát képező ingatlan-végrehajtásokra.</w:t>
      </w:r>
      <w:r>
        <w:rPr>
          <w:color w:val="000000"/>
          <w:sz w:val="24"/>
          <w:szCs w:val="24"/>
        </w:rPr>
        <w:br/>
        <w:t xml:space="preserve">Az ingatlan-végrehajtás szabályozása és gyakorlata nemcsak összefonódhat, hanem számos</w:t>
      </w:r>
      <w:r>
        <w:rPr>
          <w:color w:val="000000"/>
          <w:sz w:val="24"/>
          <w:szCs w:val="24"/>
        </w:rPr>
        <w:br/>
        <w:t xml:space="preserve">ponton el is tér (sajátossá téve a két végrehajtás kapcsolatát), így eltérés mutatkozik többek</w:t>
      </w:r>
      <w:r>
        <w:rPr>
          <w:color w:val="000000"/>
          <w:sz w:val="24"/>
          <w:szCs w:val="24"/>
        </w:rPr>
        <w:br/>
        <w:t xml:space="preserve">között az adósvédelem szintjében, az ingatlan végrehajtás során felmerülő egyes</w:t>
      </w:r>
      <w:r>
        <w:rPr>
          <w:color w:val="000000"/>
          <w:sz w:val="24"/>
          <w:szCs w:val="24"/>
        </w:rPr>
        <w:br/>
        <w:t xml:space="preserve">jogorvoslatokban, lakóingatlan végrehajtásakor, stb.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71345">
    <w:multiLevelType w:val="hybridMultilevel"/>
    <w:lvl w:ilvl="0" w:tplc="29809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71345">
    <w:abstractNumId w:val="49371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872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