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akinho21@gmail.com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Bordás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Sarcoltatás vagy adóelkerülés? Kihívások a transzferárazás szabályozásának gyakorlati végrehajtásában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Transzferár, adóoptimalizálás, jogszabályok, változások, kihívások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Sarcoltatás vagy adóelkerülés? Kihívások a transzferárazás</w:t>
      </w:r>
      <w:r>
        <w:rPr>
          <w:color w:val="000000"/>
          <w:sz w:val="24"/>
          <w:szCs w:val="24"/>
        </w:rPr>
        <w:br/>
        <w:t xml:space="preserve">szabályozásának gyakorlati végrehajtásában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TDK dolgozat összefoglaló</w:t>
      </w:r>
      <w:r>
        <w:rPr>
          <w:color w:val="000000"/>
          <w:sz w:val="24"/>
          <w:szCs w:val="24"/>
        </w:rPr>
        <w:br/>
        <w:br/>
        <w:t xml:space="preserve">A tudományos dolgozat a transzferárazás pénzügyi jogi szabályozásának jelenlegi állapotáról,</w:t>
      </w:r>
      <w:r>
        <w:rPr>
          <w:color w:val="000000"/>
          <w:sz w:val="24"/>
          <w:szCs w:val="24"/>
        </w:rPr>
        <w:br/>
        <w:t xml:space="preserve">kihívásairól és a gyakorlati végrehajtás során jelentkező nehézségekről szól. A dolgozat és az</w:t>
      </w:r>
      <w:r>
        <w:rPr>
          <w:color w:val="000000"/>
          <w:sz w:val="24"/>
          <w:szCs w:val="24"/>
        </w:rPr>
        <w:br/>
        <w:t xml:space="preserve">az alapjául szolgáló kutatás célja az volt, hogy rávilágítson a szabályozás hiányosságaira és</w:t>
      </w:r>
      <w:r>
        <w:rPr>
          <w:color w:val="000000"/>
          <w:sz w:val="24"/>
          <w:szCs w:val="24"/>
        </w:rPr>
        <w:br/>
        <w:t xml:space="preserve">javaslatokat tegyen a hatékonyság növelésére, másrészt empirikus kutatási adatokra építkezve</w:t>
      </w:r>
      <w:r>
        <w:rPr>
          <w:color w:val="000000"/>
          <w:sz w:val="24"/>
          <w:szCs w:val="24"/>
        </w:rPr>
        <w:br/>
        <w:t xml:space="preserve">mutassa be a jogintézmény gyakorlati tapasztalatait.</w:t>
      </w:r>
      <w:r>
        <w:rPr>
          <w:color w:val="000000"/>
          <w:sz w:val="24"/>
          <w:szCs w:val="24"/>
        </w:rPr>
        <w:br/>
        <w:t xml:space="preserve">Vitán felüli, hogy az utóbbi években a globális folyamatokban a transzferárazás intézménye</w:t>
      </w:r>
      <w:r>
        <w:rPr>
          <w:color w:val="000000"/>
          <w:sz w:val="24"/>
          <w:szCs w:val="24"/>
        </w:rPr>
        <w:br/>
        <w:t xml:space="preserve">felértékelődött, ennek megfelelően mélyült a szabályozása és egyre inkább beépült a vállalatok</w:t>
      </w:r>
      <w:r>
        <w:rPr>
          <w:color w:val="000000"/>
          <w:sz w:val="24"/>
          <w:szCs w:val="24"/>
        </w:rPr>
        <w:br/>
        <w:t xml:space="preserve">mindennapjaiba. E folyamatok a jogalkotót és a végrehajtó hatalmat is számos kihívás elé</w:t>
      </w:r>
      <w:r>
        <w:rPr>
          <w:color w:val="000000"/>
          <w:sz w:val="24"/>
          <w:szCs w:val="24"/>
        </w:rPr>
        <w:br/>
        <w:t xml:space="preserve">állítja.</w:t>
      </w:r>
      <w:r>
        <w:rPr>
          <w:color w:val="000000"/>
          <w:sz w:val="24"/>
          <w:szCs w:val="24"/>
        </w:rPr>
        <w:br/>
        <w:t xml:space="preserve">Mivel egy igen komplex gazdasági területről van szó, a dolgozat bevezető része az elméleti</w:t>
      </w:r>
      <w:r>
        <w:rPr>
          <w:color w:val="000000"/>
          <w:sz w:val="24"/>
          <w:szCs w:val="24"/>
        </w:rPr>
        <w:br/>
        <w:t xml:space="preserve">hátteret és a történeti kialakulást mutatja be. E fejezet célja a jogszabályok és a joggyakorlat</w:t>
      </w:r>
      <w:r>
        <w:rPr>
          <w:color w:val="000000"/>
          <w:sz w:val="24"/>
          <w:szCs w:val="24"/>
        </w:rPr>
        <w:br/>
        <w:t xml:space="preserve">feltérképezése és elemzése volt, hogy feltárja a jogintézmény legfontosabb gyakorlati</w:t>
      </w:r>
      <w:r>
        <w:rPr>
          <w:color w:val="000000"/>
          <w:sz w:val="24"/>
          <w:szCs w:val="24"/>
        </w:rPr>
        <w:br/>
        <w:t xml:space="preserve">tapasztalatait, és hasznosítható információkat nyújtson mind a jogalkotók, mind az adóalanyok</w:t>
      </w:r>
      <w:r>
        <w:rPr>
          <w:color w:val="000000"/>
          <w:sz w:val="24"/>
          <w:szCs w:val="24"/>
        </w:rPr>
        <w:br/>
        <w:t xml:space="preserve">számára.</w:t>
      </w:r>
      <w:r>
        <w:rPr>
          <w:color w:val="000000"/>
          <w:sz w:val="24"/>
          <w:szCs w:val="24"/>
        </w:rPr>
        <w:br/>
        <w:t xml:space="preserve">Bár a transzferárazás nem egy egzakt terület, és minden vállalatcsoport egyénileg szabályozza</w:t>
      </w:r>
      <w:r>
        <w:rPr>
          <w:color w:val="000000"/>
          <w:sz w:val="24"/>
          <w:szCs w:val="24"/>
        </w:rPr>
        <w:br/>
        <w:t xml:space="preserve">az árait, számos érdekes transzferármegoldással és „kiskapuval” találkozhatunk ezek</w:t>
      </w:r>
      <w:r>
        <w:rPr>
          <w:color w:val="000000"/>
          <w:sz w:val="24"/>
          <w:szCs w:val="24"/>
        </w:rPr>
        <w:br/>
        <w:t xml:space="preserve">vizsgálatakor. A transzferárak kialakítását tankönyvekből megtanulni gyakorlatilag lehetetlen,</w:t>
      </w:r>
      <w:r>
        <w:rPr>
          <w:color w:val="000000"/>
          <w:sz w:val="24"/>
          <w:szCs w:val="24"/>
        </w:rPr>
        <w:br/>
        <w:t xml:space="preserve">ugyanakkor a dolgozat igyekszik bemutatni az ismert módszereket.</w:t>
      </w:r>
      <w:r>
        <w:rPr>
          <w:color w:val="000000"/>
          <w:sz w:val="24"/>
          <w:szCs w:val="24"/>
        </w:rPr>
        <w:br/>
        <w:t xml:space="preserve">A dolgozat részletesen kitér a transzferár dokumentáció készítési kötelezettség szabályozásának</w:t>
      </w:r>
      <w:r>
        <w:rPr>
          <w:color w:val="000000"/>
          <w:sz w:val="24"/>
          <w:szCs w:val="24"/>
        </w:rPr>
        <w:br/>
        <w:t xml:space="preserve">hazai változásaira és módosításaira, valamint bemutatja a legújabb jogszabályokat, így például</w:t>
      </w:r>
      <w:r>
        <w:rPr>
          <w:color w:val="000000"/>
          <w:sz w:val="24"/>
          <w:szCs w:val="24"/>
        </w:rPr>
        <w:br/>
        <w:t xml:space="preserve">a Pillar One-Two és a BEFIT tartalmát.</w:t>
      </w:r>
      <w:r>
        <w:rPr>
          <w:color w:val="000000"/>
          <w:sz w:val="24"/>
          <w:szCs w:val="24"/>
        </w:rPr>
        <w:br/>
        <w:t xml:space="preserve">A dolgozat egyediségét különösen az empirikus kutatás eredményeit összefoglaló fejezet adja,</w:t>
      </w:r>
      <w:r>
        <w:rPr>
          <w:color w:val="000000"/>
          <w:sz w:val="24"/>
          <w:szCs w:val="24"/>
        </w:rPr>
        <w:br/>
        <w:t xml:space="preserve">amely során öt vezető pozíciójú globális vállalat menedzsere értékelte a hipotézisekhez</w:t>
      </w:r>
      <w:r>
        <w:rPr>
          <w:color w:val="000000"/>
          <w:sz w:val="24"/>
          <w:szCs w:val="24"/>
        </w:rPr>
        <w:br/>
        <w:t xml:space="preserve">kapcsolódó kilenc kérdést, s ez alapján kerültek meghatározásra a főbb összegző</w:t>
      </w:r>
      <w:r>
        <w:rPr>
          <w:color w:val="000000"/>
          <w:sz w:val="24"/>
          <w:szCs w:val="24"/>
        </w:rPr>
        <w:br/>
        <w:t xml:space="preserve">megállapítások.</w:t>
      </w:r>
      <w:r>
        <w:rPr>
          <w:color w:val="000000"/>
          <w:sz w:val="24"/>
          <w:szCs w:val="24"/>
        </w:rPr>
        <w:br/>
        <w:t xml:space="preserve">A dolgozat zárásaként az olvasó megismerheti, hogy a hipotézisek alátámasztást vagy cáfolatot</w:t>
      </w:r>
      <w:r>
        <w:rPr>
          <w:color w:val="000000"/>
          <w:sz w:val="24"/>
          <w:szCs w:val="24"/>
        </w:rPr>
        <w:br/>
        <w:t xml:space="preserve">nyertek-e, milyen lehetséges pénzügyi jogi szabályozások merülnek fel, illetve hogy milyen</w:t>
      </w:r>
      <w:r>
        <w:rPr>
          <w:color w:val="000000"/>
          <w:sz w:val="24"/>
          <w:szCs w:val="24"/>
        </w:rPr>
        <w:br/>
        <w:t xml:space="preserve">további kutatási irányok lehetségesek.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12825">
    <w:multiLevelType w:val="hybridMultilevel"/>
    <w:lvl w:ilvl="0" w:tplc="49666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12825">
    <w:abstractNumId w:val="225128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829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