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BLANKA GYŐRI</w:t>
            </w:r>
          </w:p>
          <w:p w:rsidR="00C275A3" w:rsidRDefault="00CA6B74" w:rsidP="00C275A3">
            <w:pPr>
              <w:pStyle w:val="Hallgatokepzes"/>
            </w:pPr>
            <w:r w:rsidRPr="001067CD">
              <w:rPr>
                <w:i/>
              </w:rPr>
              <w:t>gyoriblanka24@gmail.com</w:t>
            </w:r>
            <w:r w:rsidRPr="001067CD">
              <w:rPr>
                <w:i/>
              </w:rPr>
              <w:br/>
            </w:r>
            <w:r w:rsidR="00A96AEC">
              <w:t>Law undergraduate</w:t>
            </w:r>
            <w:r w:rsidR="00A96AEC">
              <w:br/>
            </w:r>
            <w:r w:rsidR="00E77B23">
              <w:t>Unified, 7. semester</w:t>
            </w:r>
          </w:p>
          <w:p w:rsidR="00C265CE" w:rsidRPr="009E5FF1" w:rsidRDefault="00E77B23" w:rsidP="00BA6BAF">
            <w:pPr>
              <w:pStyle w:val="Hallgatointezmeny-kar"/>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Péter Bordás</w:t>
            </w:r>
          </w:p>
          <w:p w:rsidR="00DB4822" w:rsidRDefault="00DB4822" w:rsidP="00BA6BAF">
            <w:pPr>
              <w:pStyle w:val="Konzulensektitulus"/>
            </w:pPr>
            <w:r w:rsidRPr="00DB4822">
              <w:t>associate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Member States’ Give-and-Take: Issues in the National-Level Implementation of EU Agricultural Funds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Common Agricultural Policy; CAP; agricultural subsidies; renationalization; financial law</w:t>
      </w:r>
      <w:r>
        <w:t xml:space="preserve"/>
      </w:r>
    </w:p>
    <w:p>
      <w:pPr>
        <w:widowControl w:val="on"/>
        <w:pBdr/>
        <w:spacing w:before="240" w:after="240" w:line="240" w:lineRule="auto"/>
        <w:ind w:left="0" w:right="0"/>
        <w:jc w:val="left"/>
      </w:pPr>
      <w:r>
        <w:rPr>
          <w:color w:val="000000"/>
          <w:sz w:val="24"/>
          <w:szCs w:val="24"/>
        </w:rPr>
        <w:t xml:space="preserve">Over the past decades, the regulatory framework of the Common Agricultural Policy (CAP) has undergone significant changes and renewal, becoming one of the European Union’s most important policies today. The importance of the sector is not only demonstrated by its key economic role but also by its critical contribution to environmental and climate protection, as well as its significant impact on competition policy. Therefore, it is in the interest of all member states and EU citizens to ensure that the CAP, which represents a substantial portion of the EU budget, is utilized as efficiently as possible. Achieving this requires the continuous modernization and development of the related legal framework.</w:t>
      </w:r>
    </w:p>
    <w:p>
      <w:pPr>
        <w:widowControl w:val="on"/>
        <w:pBdr/>
        <w:spacing w:before="240" w:after="240" w:line="240" w:lineRule="auto"/>
        <w:ind w:left="0" w:right="0"/>
        <w:jc w:val="left"/>
      </w:pPr>
      <w:r>
        <w:rPr>
          <w:color w:val="000000"/>
          <w:sz w:val="24"/>
          <w:szCs w:val="24"/>
        </w:rPr>
        <w:t xml:space="preserve">Hungary’s agricultural sector contributes a stable 2% to the EU’s total agricultural output and added value, while nearly two-thirds of the country’s land area is under agricultural cultivation. Therefore, effective utilization of the sector’s potential is a fundamental national economic interest for Hungary as well.</w:t>
      </w:r>
      <w:r>
        <w:rPr>
          <w:color w:val="000000"/>
          <w:sz w:val="24"/>
          <w:szCs w:val="24"/>
        </w:rPr>
        <w:br/>
        <w:t xml:space="preserve">The research underpinning this thesis aimed to analyze EU and national agricultural policies from a financial law perspective, with a special focus on the EU budget, the regulation of the CAP, and current issues in the agricultural sector.</w:t>
      </w:r>
    </w:p>
    <w:p>
      <w:pPr>
        <w:widowControl w:val="on"/>
        <w:pBdr/>
        <w:spacing w:before="240" w:after="240" w:line="240" w:lineRule="auto"/>
        <w:ind w:left="0" w:right="0"/>
        <w:jc w:val="left"/>
      </w:pPr>
      <w:r>
        <w:rPr>
          <w:color w:val="000000"/>
          <w:sz w:val="24"/>
          <w:szCs w:val="24"/>
        </w:rPr>
        <w:t xml:space="preserve">The research findings indicate that the current agricultural policy and its associated financial regulations are unable to adequately address the diverse needs and characteristics of member states.</w:t>
      </w:r>
      <w:r>
        <w:rPr>
          <w:color w:val="000000"/>
          <w:sz w:val="24"/>
          <w:szCs w:val="24"/>
        </w:rPr>
        <w:br/>
        <w:t xml:space="preserve">Using legal analysis and comparative legal methodology, the thesis seeks to propose solutions that could support the development of a more flexible agricultural policy that better considers national and regional interests. In my view, the partial renationalization of the CAP could be an effective approach to creating a regulatory framework that responds more sensitively to local needs and priorities.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569674">
    <w:multiLevelType w:val="hybridMultilevel"/>
    <w:lvl w:ilvl="0" w:tplc="335794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569674">
    <w:abstractNumId w:val="335696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86177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