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MÁRTON ISTVÁN TÓTH</w:t>
            </w:r>
          </w:p>
          <w:p w:rsidR="00C275A3" w:rsidRDefault="00CA6B74" w:rsidP="00C275A3">
            <w:pPr>
              <w:pStyle w:val="Hallgatokepzes"/>
            </w:pPr>
            <w:r w:rsidRPr="001067CD">
              <w:rPr>
                <w:i/>
              </w:rPr>
              <w:t>tothmartoninfo@gmail.com</w:t>
            </w:r>
            <w:r w:rsidRPr="001067CD">
              <w:rPr>
                <w:i/>
              </w:rPr>
              <w:br/>
            </w:r>
            <w:r w:rsidR="00A96AEC">
              <w:t>Lawyer (N)</w:t>
            </w:r>
            <w:r w:rsidR="00A96AEC">
              <w:br/>
            </w:r>
            <w:r w:rsidR="00E77B23">
              <w:t>Unified, 9. semester</w:t>
            </w:r>
          </w:p>
          <w:p w:rsidR="00C265CE" w:rsidRPr="009E5FF1" w:rsidRDefault="00E77B23" w:rsidP="00BA6BAF">
            <w:pPr>
              <w:pStyle w:val="Hallgatointezmeny-kar"/>
              <w:rPr>
                <w:b/>
                <w:caps/>
              </w:rPr>
            </w:pPr>
            <w:r>
              <w:t>University of Debrecen</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Péter Bordás</w:t>
            </w:r>
          </w:p>
          <w:p w:rsidR="00DB4822" w:rsidRDefault="00DB4822" w:rsidP="00BA6BAF">
            <w:pPr>
              <w:pStyle w:val="Konzulensektitulus"/>
            </w:pPr>
            <w:r w:rsidRPr="00DB4822">
              <w:t>habilitated associate professor, DE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Condominium Manage wisely! Regulatory and practical issues in the management of money and assets in condominiums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Condominium; Taxation; Management; Condominium Manager; Transparency</w:t>
      </w:r>
      <w:r>
        <w:t xml:space="preserve"/>
      </w:r>
    </w:p>
    <w:p>
      <w:pPr>
        <w:widowControl w:val="on"/>
        <w:pBdr/>
        <w:spacing w:before="240" w:after="240" w:line="240" w:lineRule="auto"/>
        <w:ind w:left="0" w:right="0"/>
        <w:jc w:val="left"/>
      </w:pPr>
      <w:r>
        <w:rPr>
          <w:color w:val="000000"/>
          <w:sz w:val="24"/>
          <w:szCs w:val="24"/>
        </w:rPr>
        <w:t xml:space="preserve">Around the world, including in our country, most people live in condominiums. They have to face numerous smaller and larger problems every day. In my scientific paper, I hypothesized that our Condominium Act, which was created over twenty years ago, is outdated in many areas, hindering the enforcement of owners' rights and the accountability of property managers. The management of common costs, the establishment of reserve funds, and the regulation of financial transparency are incomplete, while low attendance at general meetings makes it difficult to represent common interests. Implementing modernization and energy efficiency investments is also problematic due to insufficient funding. In my paper, I examined the current issues of Hungarian condominium management, with a particular focus on financial and tax-related aspects. I analyzed the use of common costs, the effectiveness of state and local government subsidies, and the liquidity problems of owner communities. In the study, I also compared the Hungarian regulation with the solutions found in Swedish and Austrian law. During the research, I applied legal analysis methods, analyzed empirical data, and conducted in-depth interviews with property managers and residents.</w:t>
      </w:r>
    </w:p>
    <w:p>
      <w:pPr>
        <w:widowControl w:val="on"/>
        <w:pBdr/>
        <w:spacing w:before="240" w:after="240" w:line="240" w:lineRule="auto"/>
        <w:ind w:left="0" w:right="0"/>
        <w:jc w:val="left"/>
      </w:pPr>
      <w:r>
        <w:rPr>
          <w:color w:val="000000"/>
          <w:sz w:val="24"/>
          <w:szCs w:val="24"/>
        </w:rPr>
        <w:t xml:space="preserve">Through analysis and examples, the study concluded that the current Condominium Act does not meet modern requirements in many respects. Building renewal requires transparent resource management, reserve funds, and savings accounts to cover unexpected expenses. Regular training, certification, and monitoring of property managers would be essential to prevent management errors and financial abuses. Digital systems and online general meetings could improve communication and enhance financial transparency, allowing residents easier access to financial data, budget plans, and updates on ongoing matters. From a tax perspective, the regulations are favorable but require stricter oversight to address issues of transparency. The rules demand attention and expertise from property managers, whose work is crucial for tax compliance as well.</w:t>
      </w:r>
    </w:p>
    <w:p>
      <w:pPr>
        <w:widowControl w:val="on"/>
        <w:pBdr/>
        <w:spacing w:before="240" w:after="240" w:line="240" w:lineRule="auto"/>
        <w:ind w:left="0" w:right="0"/>
        <w:jc w:val="left"/>
      </w:pPr>
      <w:r>
        <w:rPr>
          <w:color w:val="000000"/>
          <w:sz w:val="24"/>
          <w:szCs w:val="24"/>
        </w:rPr>
        <w:t xml:space="preserve">A modern legislative reform – incorporating stricter financial guarantees and transparent accountability rules – could improve the economic stability of condominiums and protect the interests of resident communities, creating true homes within the walls of condominiums.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106791">
    <w:multiLevelType w:val="hybridMultilevel"/>
    <w:lvl w:ilvl="0" w:tplc="211907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106791">
    <w:abstractNumId w:val="5010679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756175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