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MONDA</w:t>
            </w:r>
          </w:p>
          <w:p w:rsidR="00C275A3" w:rsidRDefault="00CA6B74" w:rsidP="00C275A3">
            <w:pPr>
              <w:pStyle w:val="Hallgatokepzes"/>
            </w:pPr>
            <w:r w:rsidRPr="001067CD">
              <w:rPr>
                <w:i/>
              </w:rPr>
              <w:t>viktoria.monda@gmail.com</w:t>
            </w:r>
            <w:r w:rsidRPr="001067CD">
              <w:rPr>
                <w:i/>
              </w:rPr>
              <w:br/>
            </w:r>
            <w:r w:rsidR="00A96AEC">
              <w:t>management and leadership</w:t>
            </w:r>
            <w:r w:rsidR="00A96AEC">
              <w:br/>
            </w:r>
            <w:r w:rsidR="00E77B23">
              <w:t>MA, 4.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Zoltan Andras Daniel PhD</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consumer approach to corporate ESG - Consumer behaviour models, expectations and perceptions related to ESG values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consumer grups; consumer perspective; social expectations; cluster analysis</w:t>
      </w:r>
      <w:r>
        <w:t xml:space="preserve"/>
      </w:r>
    </w:p>
    <w:p>
      <w:pPr>
        <w:widowControl w:val="on"/>
        <w:pBdr/>
        <w:spacing w:before="240" w:after="240" w:line="240" w:lineRule="auto"/>
        <w:ind w:left="0" w:right="0"/>
        <w:jc w:val="left"/>
      </w:pPr>
      <w:r>
        <w:rPr>
          <w:color w:val="000000"/>
          <w:sz w:val="24"/>
          <w:szCs w:val="24"/>
        </w:rPr>
        <w:t xml:space="preserve">Today, the need for action and solutions to prevent damage to our environment is becoming increasingly urgent. Climate change is no longer a hypothesis for the distant future, but a megatrend that has a quantifiable impact on economic performance (Gyura, 2020) ESG (Environmental, Social, Governance) is a framework that focuses on environmental, social and governance sustainability, which can provide a competitive advantage in financing, cost savings in production processes and can also serve branding purposes. The aim of my thesis is to look at corporate ESG operations from the consumer's perspective. Beyond the grouping of consumers, my research questions also include the demographic characteristics of each group. I will also investigate whether different consumer groups are related to ESG expectations of companies and perceptions of companies' ESG aspirations. Using a variety of cluster analysis methods, I identified ESG-identifying and ESG-less-identifying groups based on 207 consumer responses to consumer behaviours. I examined demographic characteristics in each group using Kruskal-Wallis test and GAM analysis, while I used cross tabulation analysis to explore the relationships between expectations and perceptions and consumer groups. My results partially confirmed my literature research, which suggests that on the one hand, consumer groups can be distinguished along the topic under study, which are influenced by certain demographic factors. I also found that the expectations of the respondents in my sample were high regardless of group in terms of corporate ESG activities, but not so in terms of perceptions of corporate ESG efforts, which showed a relationship with membership in particular consumer groups. My research also highlighted that there is a lot of scope for even a more specific study, both because of the complexity of the topic and because of its novelty.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32128">
    <w:multiLevelType w:val="hybridMultilevel"/>
    <w:lvl w:ilvl="0" w:tplc="92462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32128">
    <w:abstractNumId w:val="194321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3432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