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SCHVANNER</w:t>
            </w:r>
          </w:p>
          <w:p w:rsidR="00C275A3" w:rsidRDefault="00CA6B74" w:rsidP="00C275A3">
            <w:pPr>
              <w:pStyle w:val="Hallgatokepzes"/>
            </w:pPr>
            <w:r w:rsidRPr="001067CD">
              <w:rPr>
                <w:i/>
              </w:rPr>
              <w:t>schvanner.laszlo@outlook.com</w:t>
            </w:r>
            <w:r w:rsidRPr="001067CD">
              <w:rPr>
                <w:i/>
              </w:rPr>
              <w:br/>
            </w:r>
            <w:r w:rsidR="00A96AEC">
              <w:t>Supply Chain Management</w:t>
            </w:r>
            <w:r w:rsidR="00A96AEC">
              <w:br/>
            </w:r>
            <w:r w:rsidR="00E77B23">
              <w:t>MA, 3.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Zoltán Kovács</w:t>
            </w:r>
          </w:p>
          <w:p w:rsidR="00DB4822" w:rsidRDefault="00DB4822" w:rsidP="00BA6BAF">
            <w:pPr>
              <w:pStyle w:val="Konzulensektitulus"/>
            </w:pPr>
            <w:r w:rsidRPr="00DB4822">
              <w:t>Full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Dual use development possibilities of railway transport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Combined transport; Hungarian Defence Forces; Rail Cargo Hungaria; dual use of railway system</w:t>
      </w:r>
      <w:r>
        <w:t xml:space="preserve"/>
      </w:r>
    </w:p>
    <w:p>
      <w:pPr>
        <w:widowControl w:val="on"/>
        <w:pBdr/>
        <w:spacing w:before="240" w:after="240" w:line="240" w:lineRule="auto"/>
        <w:ind w:left="0" w:right="0"/>
        <w:jc w:val="left"/>
      </w:pPr>
      <w:r>
        <w:rPr>
          <w:color w:val="000000"/>
          <w:sz w:val="24"/>
          <w:szCs w:val="24"/>
        </w:rPr>
        <w:t xml:space="preserve">The purpose is to present a comprehensive overview of the development possibilities of railway transport through collaboration between the civilian and governmental sectors. As a business model, operating dual-use transport systems allows for optimizing the efficiency level. However, this utilization method has been realised again in recent years. As a result, there are only a few research studies in Europe. Worldwide military conflicts have raised the vigilance level of the EU and NATO. That is why military mobility has become a significant element of strategic planning. In 2022, the EU launched its programme, giving substantial financial support.</w:t>
      </w:r>
    </w:p>
    <w:p>
      <w:pPr>
        <w:widowControl w:val="on"/>
        <w:pBdr/>
        <w:spacing w:before="240" w:after="240" w:line="240" w:lineRule="auto"/>
        <w:ind w:left="0" w:right="0"/>
        <w:jc w:val="left"/>
      </w:pPr>
      <w:r>
        <w:rPr>
          <w:color w:val="000000"/>
          <w:sz w:val="24"/>
          <w:szCs w:val="24"/>
        </w:rPr>
        <w:t xml:space="preserve">This work's diversity and forward-looking nature is represented brilliantly by the fact that the significance of this topic performed a broad expansion in defence and economic aspects. Civilian stakeholders can share their financial costs by using additional resources while they can optimise their systems. Moreover, military interests can be asserted as a higher priority, increasing Hungary and NATO's defense capabilities. In addition, the transformation of the pan-European transport network is an essential part of EU plans. Without this, the goal of a climate-neutral continent by 2050 can not be achieved.</w:t>
      </w:r>
    </w:p>
    <w:p>
      <w:pPr>
        <w:widowControl w:val="on"/>
        <w:pBdr/>
        <w:spacing w:before="240" w:after="240" w:line="240" w:lineRule="auto"/>
        <w:ind w:left="0" w:right="0"/>
        <w:jc w:val="left"/>
      </w:pPr>
      <w:r>
        <w:rPr>
          <w:color w:val="000000"/>
          <w:sz w:val="24"/>
          <w:szCs w:val="24"/>
        </w:rPr>
        <w:t xml:space="preserve">The author reviewed the specifications of this transport system and the literature background. Besides, the author analysed the current conditions, development paths, capacities, insufficiencies of the railway transport system. During the research, the author contacted representatives from the fields of military transport, civilian rail freight (Rail Cargo Hungaria Zrt.), track operators (Hungarian State Railways), the general organisation of Hungarian logistics service providers (Association of Hungarian Logistics Service Centres) as railway stakeholders. Conducting this created the possibility of a precious understanding of railway transport system problems through their intentions, objective – subjective insights. Furthermore, the author had to consider that this study is open-sourced. Due to this, certain information belonging to any level of classified or private data has not been used.</w:t>
      </w:r>
    </w:p>
    <w:p>
      <w:pPr>
        <w:widowControl w:val="on"/>
        <w:pBdr/>
        <w:spacing w:before="240" w:after="240" w:line="240" w:lineRule="auto"/>
        <w:ind w:left="0" w:right="0"/>
        <w:jc w:val="left"/>
      </w:pPr>
      <w:r>
        <w:rPr>
          <w:color w:val="000000"/>
          <w:sz w:val="24"/>
          <w:szCs w:val="24"/>
        </w:rPr>
        <w:t xml:space="preserve">The author has formulated possible technical (infrastructure) and human development paths based on the shortages and forecasts. He has also recommended tasks to be carried out in feasible development directions. The calculated Return on Investment (RoI) rates are also detailed in different scenarios.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598867">
    <w:multiLevelType w:val="hybridMultilevel"/>
    <w:lvl w:ilvl="0" w:tplc="59817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598867">
    <w:abstractNumId w:val="275988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5025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