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JARECSNI KATERINA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jarecsni.katerina@gmail.com</w:t>
            </w:r>
            <w:r w:rsidRPr="001067CD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Tokaj-Hegyalja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Köpeczi-Bócz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egyetemi docens,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sárospataki gyógyvíz lehetséges gazdasági- és társadalmi hatásai a fenntartható térségi tervezésben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 térségi tervezés; Gyógyvíz; Fürdőgyógyászat ; Társadalombiztosítási támogatással igényelhető gyógyászati ellátások; Egészségturizmus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Sárospatak területén található termálvíz készletek fenntartható és optimális használatának gazdasági és társadalmi hatásainak kapcsolatával szeretnék foglalkozni. Arra a kérdésre keresem a választ, hogy a Sárospatakon megtalálható termálvíz gyógyvízzé történő minősítésével, az erre épülő lehetséges fürdőgyógyászati szolgáltatások bevezetése milyen társadalmi- és gazdasági hasznot jelenthetnek. Érdemes-e további fejlesztésekben és beruházásokban gondolkodni?</w:t>
      </w:r>
      <w:r>
        <w:rPr>
          <w:color w:val="000000"/>
          <w:sz w:val="24"/>
          <w:szCs w:val="24"/>
        </w:rPr>
        <w:br/>
        <w:t xml:space="preserve">Körbejárom a gyógyvízi minősítés folyamatát, az igénybe vehető gyógyászati ellátások körét, hogy meghatározhassam a jelenlegi infrastruktúrával mely szolgálatatások bevezetése valósulhat meg Sárospatakon. A kutatásaim során összegyűjtött adatok alapján költség-haszon elemzést végzek annak érdekében, hogy megvizsgáljam a balneoterápiás kezelések társadalombiztosítási finanszírozásával biztosíthatók-e a megvalósítás és szolgáltatások működtetésének költségei.</w:t>
      </w:r>
      <w:r>
        <w:rPr>
          <w:color w:val="000000"/>
          <w:sz w:val="24"/>
          <w:szCs w:val="24"/>
        </w:rPr>
        <w:br/>
        <w:t xml:space="preserve">Arra a következtetésre jutok, hogy a Sárospatakon található gyógyvíz fürdőgyógyászati szolgáltatásokra történő alkalmazása pozitív gazdasági- és társadalmi hasznot jelenthet. A lakosságszám arányosan mért számítások a befektetési költségek nyereségességét mutatják. Akárcsak a hosszú távra számolt jelenértékszámítás is. A kutatási eredmények egyértelműen azt igazolják, hogy további beruházások és fejlesztések megvalósítása a fenntartható térségi tervezést eredményezhetik.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38304">
    <w:multiLevelType w:val="hybridMultilevel"/>
    <w:lvl w:ilvl="0" w:tplc="95740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38304">
    <w:abstractNumId w:val="492383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696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