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KATERINA JARECSNI</w:t>
            </w:r>
          </w:p>
          <w:p w:rsidR="00C275A3" w:rsidRDefault="00CA6B74" w:rsidP="00C275A3">
            <w:pPr>
              <w:pStyle w:val="Hallgatokepzes"/>
            </w:pPr>
            <w:r w:rsidRPr="001067CD">
              <w:rPr>
                <w:i/>
              </w:rPr>
              <w:t>jarecsni.katerina@gmail.com</w:t>
            </w:r>
            <w:r w:rsidRPr="001067CD">
              <w:rPr>
                <w:i/>
              </w:rPr>
              <w:br/>
            </w:r>
            <w:r w:rsidR="00A96AEC">
              <w:t>business development</w:t>
            </w:r>
            <w:r w:rsidR="00A96AEC">
              <w:br/>
            </w:r>
            <w:r w:rsidR="00E77B23">
              <w:t>MA, 3. semester</w:t>
            </w:r>
          </w:p>
          <w:p w:rsidR="00C265CE" w:rsidRPr="009E5FF1" w:rsidRDefault="00E77B23" w:rsidP="00BA6BAF">
            <w:pPr>
              <w:pStyle w:val="Hallgatointezmeny-kar"/>
              <w:rPr>
                <w:b/>
                <w:caps/>
              </w:rPr>
            </w:pPr>
            <w:r>
              <w:t>University of Tokaj</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Tamás Köpeczi-Bócz </w:t>
            </w:r>
          </w:p>
          <w:p w:rsidR="00DB4822" w:rsidRDefault="00DB4822" w:rsidP="00BA6BAF">
            <w:pPr>
              <w:pStyle w:val="Konzulensektitulus"/>
            </w:pPr>
            <w:r w:rsidRPr="00DB4822">
              <w:t>head of department, associate professor, THE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possible economic and social effects of the medicinal water in Sárospatak on sustainable regional planning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Sustainable regional planning; Medicinal water; Spa medicine; Medical benefits that can be claimed with social security support; Health tourism</w:t>
      </w:r>
      <w:r>
        <w:t xml:space="preserve"/>
      </w:r>
    </w:p>
    <w:p>
      <w:pPr>
        <w:widowControl w:val="on"/>
        <w:pBdr/>
        <w:spacing w:before="240" w:after="240" w:line="240" w:lineRule="auto"/>
        <w:ind w:left="0" w:right="0"/>
        <w:jc w:val="left"/>
      </w:pPr>
      <w:r>
        <w:rPr>
          <w:color w:val="000000"/>
          <w:sz w:val="24"/>
          <w:szCs w:val="24"/>
        </w:rPr>
        <w:t xml:space="preserve">In my thesis, I would like to deal with the relationship between the economic and social effects of the sustainable and optimal use of thermal water resources in the area of Sárospatak. I am looking for an answer to the question of what kind of social and economic benefits the thermal water found in Sárospatak can be classified as medical water and the introduction of possible spa services based on it. Is it worth thinking about further developments and investments?</w:t>
      </w:r>
      <w:r>
        <w:rPr>
          <w:color w:val="000000"/>
          <w:sz w:val="24"/>
          <w:szCs w:val="24"/>
        </w:rPr>
        <w:br/>
        <w:t xml:space="preserve">I am going around the process of medical water certification, the range of available medical services, in order to determine which services can be implemented in Sárospatak with the current infrastructure. Based on the data collected during my research, I perform a cost-benefit analysis in order to examine whether the costs of implementation and operation of services can be ensured by social insurance financing of balneotherapy treatments.</w:t>
      </w:r>
      <w:r>
        <w:rPr>
          <w:color w:val="000000"/>
          <w:sz w:val="24"/>
          <w:szCs w:val="24"/>
        </w:rPr>
        <w:br/>
        <w:t xml:space="preserve">I come to the conclusion that the use of medicinal water in Sárospatak for spa services can be a positive</w:t>
      </w:r>
      <w:r>
        <w:rPr>
          <w:color w:val="000000"/>
          <w:sz w:val="24"/>
          <w:szCs w:val="24"/>
        </w:rPr>
        <w:br/>
        <w:t xml:space="preserve">economic and social benefit. Calculations proportional to the number of inhabitants show the</w:t>
      </w:r>
      <w:r>
        <w:rPr>
          <w:color w:val="000000"/>
          <w:sz w:val="24"/>
          <w:szCs w:val="24"/>
        </w:rPr>
        <w:br/>
        <w:t xml:space="preserve">profitability of investment costs. Just like the long-term present value calculation. The research results</w:t>
      </w:r>
      <w:r>
        <w:rPr>
          <w:color w:val="000000"/>
          <w:sz w:val="24"/>
          <w:szCs w:val="24"/>
        </w:rPr>
        <w:br/>
        <w:t xml:space="preserve">clearly prove that the implementation of further investments and developments can result in sustainable</w:t>
      </w:r>
      <w:r>
        <w:rPr>
          <w:color w:val="000000"/>
          <w:sz w:val="24"/>
          <w:szCs w:val="24"/>
        </w:rPr>
        <w:br/>
        <w:t xml:space="preserve">regional planning.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95981">
    <w:multiLevelType w:val="hybridMultilevel"/>
    <w:lvl w:ilvl="0" w:tplc="64421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95981">
    <w:abstractNumId w:val="272959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13057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