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sklaudia02@gmail.com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- dentálhigiénikus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fogszabályozással és gyermekfogászattal kapcsolatos Internetes információ-kereső magatartás digitális epidemiológiai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fogszabályozás; gyermekfogászat; infodemiológia; információkereső-magatartás; trendanalízis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szájüregi kóros elváltozások gyermekkorban (beleértve a fogszuvasodást és az orthodontiai rendellenességeket) jelentősen hozzájárulnak a globális betegségteherhez, és hosszú távon befolyásolhatják az életminőséget. Jelen vizsgálat célja a hazai fogszabályozással és gyermekfogászattal kapcsolatos Internetes információ-kereső magatartás digitális epidemiológiai vizsgálata.</w:t>
      </w:r>
      <w:r>
        <w:rPr>
          <w:color w:val="000000"/>
          <w:sz w:val="24"/>
          <w:szCs w:val="24"/>
        </w:rPr>
        <w:br/>
        <w:t xml:space="preserve">Módszertan: Kvantitatív, retrospektív obszervációs kutatás a Google TrendsTM adatbázisban, a „fogszabályozás”, „gyermekfogászat” és „fogkő” keresőszavakra vonatkozóan. A keresési intenzitási adatokat nyers és korrigált relatív keresési volumenben (RSV és RSVkorr) határoztuk meg, a 2013-2022 közötti időintervallumban. A földrajzi eltérések elemzésére információszükségleti indexet (INI) számoltunk. Statisztikai elemzéseinket (leíró, paraméteres próbák, trendanalízis) a jamovi 2.4.5 és PAST 4.01 szoftverrel végeztük (α: 0,05; 95% megbízhatósági tartomány [MT]).</w:t>
      </w:r>
      <w:r>
        <w:rPr>
          <w:color w:val="000000"/>
          <w:sz w:val="24"/>
          <w:szCs w:val="24"/>
        </w:rPr>
        <w:br/>
        <w:t xml:space="preserve">Eredmények: A 10-éves vizsgálat alatt a vizsgált keresőszavak RSV-értékeiben szignifikáns monoton növekvő trendet (Mann-Kendall-teszt: p&lt;0,001; „fogszabályozás”: S: +2338, „gyermekfogászat” S: +4593, „fogkő” S: +1650), a „fogszabályozás” (p=0,011) és „fogkő” (p=0,032) esetében szezonalitást (Wald-Wolfowitz-runs-teszt) figyeltünk meg. A SARS-CoV-2 pandémiát követő években (2017-2019 vs. 2020-2022) a „fogkő” esetében szignifikánsan magasabb (64,34 [95%MT: 62,18-66,54] vs. 73,72 [95%MT: 70,15-77,30]), míg a „gyermekfogászat” esetében szignifikánsan alacsonyabb (74,92 [95%MT: 71,10-78,73] vs. 65,75 [95%MT: 60,90-70,60]) RSV-értékeket tapasztaltunk. A leggyakoribb kapcsolódó kulcsszavak a „fogszabályozás árak” (98-100), „gyermekfogászat Budapest” (100) és a „fogkő eltávolítás” (100) voltak. A latenciaidőtől (1-2-3-4 hét) függetlenül az „Egészséges Száj Világnapja” oktatókampánynak nem volt szignifikáns hatása (p&lt;0,05) egyik keresőszó intenzitására sem. A földrajzi eltérések tekintetében Nógrád, Tolna és Vas vármegyék rendelkeztek a legmagasabb INI értékekkel.</w:t>
      </w:r>
      <w:r>
        <w:rPr>
          <w:color w:val="000000"/>
          <w:sz w:val="24"/>
          <w:szCs w:val="24"/>
        </w:rPr>
        <w:br/>
        <w:t xml:space="preserve">Megbeszélés: A keresőkifejezéseinkhez kapcsolódó kulcsszavak kvalitatív és kvantitatív elemzése alapján a fogszabályozással és gyermekfogászattal kapcsolatos Internetes keresések döntő motivációja fogyasztói jellegű, illetve az egészségügyi ellátás elérésére irányulnak.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62552">
    <w:multiLevelType w:val="hybridMultilevel"/>
    <w:lvl w:ilvl="0" w:tplc="61026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62552">
    <w:abstractNumId w:val="95662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276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