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tothkatu35@gmail.com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Blanka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gyermekkori viselkedészavarok előfordulási gyakoriságának vizsgálati és kezelési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Gyermek-fizioterápia; koncentrációzavar; viselkedészavar; mozgásprogram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18 éves vagy annál fiatalabb gyermekek körében az ADHD</w:t>
      </w:r>
      <w:r>
        <w:rPr>
          <w:color w:val="000000"/>
          <w:sz w:val="24"/>
          <w:szCs w:val="24"/>
        </w:rPr>
        <w:br/>
        <w:t xml:space="preserve">(attention-deficit/hyperactivity disorder) prevalenciája 7,2%. Ez egy</w:t>
      </w:r>
      <w:r>
        <w:rPr>
          <w:color w:val="000000"/>
          <w:sz w:val="24"/>
          <w:szCs w:val="24"/>
        </w:rPr>
        <w:br/>
        <w:t xml:space="preserve">idegrendszeri fejlődési zavar, jellemzője a figyelem fenntartásának</w:t>
      </w:r>
      <w:r>
        <w:rPr>
          <w:color w:val="000000"/>
          <w:sz w:val="24"/>
          <w:szCs w:val="24"/>
        </w:rPr>
        <w:br/>
        <w:t xml:space="preserve">nehézsége, túlzott mozgékonyság, valamint impulzív viselkedés, amelyek</w:t>
      </w:r>
      <w:r>
        <w:rPr>
          <w:color w:val="000000"/>
          <w:sz w:val="24"/>
          <w:szCs w:val="24"/>
        </w:rPr>
        <w:br/>
        <w:t xml:space="preserve">jelentős hatással lehetnek a gyermekek mindennapjaira. A kutatás célja</w:t>
      </w:r>
      <w:r>
        <w:rPr>
          <w:color w:val="000000"/>
          <w:sz w:val="24"/>
          <w:szCs w:val="24"/>
        </w:rPr>
        <w:br/>
        <w:t xml:space="preserve">mélyebb betekintést nyerni a viselkedészavarok, kiemelten az ADHD</w:t>
      </w:r>
      <w:r>
        <w:rPr>
          <w:color w:val="000000"/>
          <w:sz w:val="24"/>
          <w:szCs w:val="24"/>
        </w:rPr>
        <w:br/>
        <w:t xml:space="preserve">tüneteibe, kialakulásának és jellemzőinek jellegzetességeibe. Célunk egy</w:t>
      </w:r>
      <w:r>
        <w:rPr>
          <w:color w:val="000000"/>
          <w:sz w:val="24"/>
          <w:szCs w:val="24"/>
        </w:rPr>
        <w:br/>
        <w:t xml:space="preserve">olyan összetett tornaprogram összeállítása, ami kiegészítő terápiás</w:t>
      </w:r>
      <w:r>
        <w:rPr>
          <w:color w:val="000000"/>
          <w:sz w:val="24"/>
          <w:szCs w:val="24"/>
        </w:rPr>
        <w:br/>
        <w:t xml:space="preserve">lehetőséget biztosít a gyermekeknek.</w:t>
      </w:r>
      <w:r>
        <w:rPr>
          <w:color w:val="000000"/>
          <w:sz w:val="24"/>
          <w:szCs w:val="24"/>
        </w:rPr>
        <w:br/>
        <w:t xml:space="preserve">Módszerek: Felmérésünkben olyan szülők (n=30) vettek részt, akiknek az</w:t>
      </w:r>
      <w:r>
        <w:rPr>
          <w:color w:val="000000"/>
          <w:sz w:val="24"/>
          <w:szCs w:val="24"/>
        </w:rPr>
        <w:br/>
        <w:t xml:space="preserve">1–2. osztályos gyermeke bármilyen figyelem- vagy koncentrációs</w:t>
      </w:r>
      <w:r>
        <w:rPr>
          <w:color w:val="000000"/>
          <w:sz w:val="24"/>
          <w:szCs w:val="24"/>
        </w:rPr>
        <w:br/>
        <w:t xml:space="preserve">problémával küzd. A szülők körében részletes – születés körüli tényezőket;</w:t>
      </w:r>
      <w:r>
        <w:rPr>
          <w:color w:val="000000"/>
          <w:sz w:val="24"/>
          <w:szCs w:val="24"/>
        </w:rPr>
        <w:br/>
        <w:t xml:space="preserve">iskolai, otthoni körülményeket; egyéni jellemzőket magába foglaló –</w:t>
      </w:r>
      <w:r>
        <w:rPr>
          <w:color w:val="000000"/>
          <w:sz w:val="24"/>
          <w:szCs w:val="24"/>
        </w:rPr>
        <w:br/>
        <w:t xml:space="preserve">kérdőíves felmérést alkalmaztunk. Az egyéni fejlesztés hatékonyságának</w:t>
      </w:r>
      <w:r>
        <w:rPr>
          <w:color w:val="000000"/>
          <w:sz w:val="24"/>
          <w:szCs w:val="24"/>
        </w:rPr>
        <w:br/>
        <w:t xml:space="preserve">rögzítésében az állapotot felmérő vizsgálatba és beavatkozásba bevont</w:t>
      </w:r>
      <w:r>
        <w:rPr>
          <w:color w:val="000000"/>
          <w:sz w:val="24"/>
          <w:szCs w:val="24"/>
        </w:rPr>
        <w:br/>
        <w:t xml:space="preserve">gyermekek (n=2) vettek részt. Komplex vizsgálatunk során kognitív,</w:t>
      </w:r>
      <w:r>
        <w:rPr>
          <w:color w:val="000000"/>
          <w:sz w:val="24"/>
          <w:szCs w:val="24"/>
        </w:rPr>
        <w:br/>
        <w:t xml:space="preserve">koordinációs és egyensúlyi, finommotoros funkciót felmérő és figyelem</w:t>
      </w:r>
      <w:r>
        <w:rPr>
          <w:color w:val="000000"/>
          <w:sz w:val="24"/>
          <w:szCs w:val="24"/>
        </w:rPr>
        <w:br/>
        <w:t xml:space="preserve">megosztását igénylő speciális, játékos teszteket alkalmaztunk. A</w:t>
      </w:r>
      <w:r>
        <w:rPr>
          <w:color w:val="000000"/>
          <w:sz w:val="24"/>
          <w:szCs w:val="24"/>
        </w:rPr>
        <w:br/>
        <w:t xml:space="preserve">tornaprogram 5 héten át jelenléti formában zajlott. Eredményeink</w:t>
      </w:r>
      <w:r>
        <w:rPr>
          <w:color w:val="000000"/>
          <w:sz w:val="24"/>
          <w:szCs w:val="24"/>
        </w:rPr>
        <w:br/>
        <w:t xml:space="preserve">értékeléséhez alapstatisztikai módszereket használtunk (p &lt;0,005).</w:t>
      </w:r>
      <w:r>
        <w:rPr>
          <w:color w:val="000000"/>
          <w:sz w:val="24"/>
          <w:szCs w:val="24"/>
        </w:rPr>
        <w:br/>
        <w:t xml:space="preserve">Eredmények: A kérdőív eredményei alapján a válaszadók fele értékeli úgy,</w:t>
      </w:r>
      <w:r>
        <w:rPr>
          <w:color w:val="000000"/>
          <w:sz w:val="24"/>
          <w:szCs w:val="24"/>
        </w:rPr>
        <w:br/>
        <w:t xml:space="preserve">hogy gyermeke állapota konfliktust okoz a gyermek és a környezetében élők</w:t>
      </w:r>
      <w:r>
        <w:rPr>
          <w:color w:val="000000"/>
          <w:sz w:val="24"/>
          <w:szCs w:val="24"/>
        </w:rPr>
        <w:br/>
        <w:t xml:space="preserve">között (ideértve hasonló arányban szüleit, tanárait, továbbá 44%-uk</w:t>
      </w:r>
      <w:r>
        <w:rPr>
          <w:color w:val="000000"/>
          <w:sz w:val="24"/>
          <w:szCs w:val="24"/>
        </w:rPr>
        <w:br/>
        <w:t xml:space="preserve">esetében iskolatársait). A résztvevők eltérő diagnózissal rendelkeztek:</w:t>
      </w:r>
      <w:r>
        <w:rPr>
          <w:color w:val="000000"/>
          <w:sz w:val="24"/>
          <w:szCs w:val="24"/>
        </w:rPr>
        <w:br/>
        <w:t xml:space="preserve">autizmus (n=14fő), ADHD (n=16fő), hiperaktivitás (n=6fő), szenzoros</w:t>
      </w:r>
      <w:r>
        <w:rPr>
          <w:color w:val="000000"/>
          <w:sz w:val="24"/>
          <w:szCs w:val="24"/>
        </w:rPr>
        <w:br/>
        <w:t xml:space="preserve">érintettség (n=7fő), mentális zavarok (n=2fő), diszlexia (n=1fő), diszgráfia</w:t>
      </w:r>
      <w:r>
        <w:rPr>
          <w:color w:val="000000"/>
          <w:sz w:val="24"/>
          <w:szCs w:val="24"/>
        </w:rPr>
        <w:br/>
        <w:t xml:space="preserve">(n=2fő) – melyek sokszor kombináltan voltak jelen. A leggyakrabban</w:t>
      </w:r>
      <w:r>
        <w:rPr>
          <w:color w:val="000000"/>
          <w:sz w:val="24"/>
          <w:szCs w:val="24"/>
        </w:rPr>
        <w:br/>
        <w:t xml:space="preserve">megjelölt eltérések közé tartozott a fejletlen kézmozgás (n=12fő),</w:t>
      </w:r>
      <w:r>
        <w:rPr>
          <w:color w:val="000000"/>
          <w:sz w:val="24"/>
          <w:szCs w:val="24"/>
        </w:rPr>
        <w:br/>
        <w:t xml:space="preserve">koordináció és egyensúlyzavar (n=11fő), beszéddel kapcsolatos problémák</w:t>
      </w:r>
      <w:r>
        <w:rPr>
          <w:color w:val="000000"/>
          <w:sz w:val="24"/>
          <w:szCs w:val="24"/>
        </w:rPr>
        <w:br/>
        <w:t xml:space="preserve">(n=9fő).</w:t>
      </w:r>
      <w:r>
        <w:rPr>
          <w:color w:val="000000"/>
          <w:sz w:val="24"/>
          <w:szCs w:val="24"/>
        </w:rPr>
        <w:br/>
        <w:t xml:space="preserve">Megbeszélés: Eredményeink alapján napjainkban a viselkedészavarok</w:t>
      </w:r>
      <w:r>
        <w:rPr>
          <w:color w:val="000000"/>
          <w:sz w:val="24"/>
          <w:szCs w:val="24"/>
        </w:rPr>
        <w:br/>
        <w:t xml:space="preserve">előfordulási gyakorisága igen nagy, mely hatással van a gyermekek</w:t>
      </w:r>
      <w:r>
        <w:rPr>
          <w:color w:val="000000"/>
          <w:sz w:val="24"/>
          <w:szCs w:val="24"/>
        </w:rPr>
        <w:br/>
        <w:t xml:space="preserve">mindennapos teljesítményére, társaival, valamint a felnőttekkel való</w:t>
      </w:r>
      <w:r>
        <w:rPr>
          <w:color w:val="000000"/>
          <w:sz w:val="24"/>
          <w:szCs w:val="24"/>
        </w:rPr>
        <w:br/>
        <w:t xml:space="preserve">kapcsolatára.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28648">
    <w:multiLevelType w:val="hybridMultilevel"/>
    <w:lvl w:ilvl="0" w:tplc="65834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28648">
    <w:abstractNumId w:val="42228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11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