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HORVÁTH</w:t>
            </w:r>
          </w:p>
          <w:p w:rsidR="00C275A3" w:rsidRDefault="00CA6B74" w:rsidP="00C275A3">
            <w:pPr>
              <w:pStyle w:val="Hallgatokepzes"/>
            </w:pPr>
            <w:r w:rsidRPr="001067CD">
              <w:rPr>
                <w:i/>
              </w:rPr>
              <w:t>fanniuszas@gmail.com</w:t>
            </w:r>
            <w:r w:rsidRPr="001067CD">
              <w:rPr>
                <w:i/>
              </w:rPr>
              <w:br/>
            </w:r>
            <w:r w:rsidR="00A96AEC">
              <w:t>Business Administration and Management</w:t>
            </w:r>
            <w:r w:rsidR="00A96AEC">
              <w:br/>
            </w:r>
            <w:r w:rsidR="00E77B23">
              <w:t>BSc, 5. semester</w:t>
            </w:r>
          </w:p>
          <w:p w:rsidR="00C265CE" w:rsidRPr="009E5FF1" w:rsidRDefault="00E77B23" w:rsidP="00BA6BAF">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Anita Antal</w:t>
            </w:r>
          </w:p>
          <w:p w:rsidR="00DB4822" w:rsidRDefault="00DB4822" w:rsidP="00BA6BAF">
            <w:pPr>
              <w:pStyle w:val="Konzulensektitulus"/>
            </w:pPr>
            <w:r w:rsidRPr="00DB4822">
              <w:t>associate professor,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Crisis reality, real crisis? Energy market changes, focusing on electric and gas energy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energy; electricity, gas; trend; correlation</w:t>
      </w:r>
      <w:r>
        <w:t xml:space="preserve"/>
      </w:r>
    </w:p>
    <w:p>
      <w:pPr>
        <w:widowControl w:val="on"/>
        <w:pBdr/>
        <w:spacing w:before="240" w:after="240" w:line="240" w:lineRule="auto"/>
        <w:ind w:left="0" w:right="0"/>
        <w:jc w:val="left"/>
      </w:pPr>
      <w:r>
        <w:rPr>
          <w:color w:val="000000"/>
          <w:sz w:val="24"/>
          <w:szCs w:val="24"/>
        </w:rPr>
        <w:t xml:space="preserve">My research focuses on the Hungarian and European Union energy sectors, particularly the trends in electricity and gas consumption and price changes, analyzed through long-term statistical time series. It also examines the economic impacts from the consumer perspective. The relevance of the topic lies in the energy crisis that followed the outbreak of the Ukraine-Russia war, affecting all of Europe.</w:t>
      </w:r>
    </w:p>
    <w:p>
      <w:pPr>
        <w:widowControl w:val="on"/>
        <w:pBdr/>
        <w:spacing w:before="240" w:after="240" w:line="240" w:lineRule="auto"/>
        <w:ind w:left="0" w:right="0"/>
        <w:jc w:val="left"/>
      </w:pPr>
      <w:r>
        <w:rPr>
          <w:color w:val="000000"/>
          <w:sz w:val="24"/>
          <w:szCs w:val="24"/>
        </w:rPr>
        <w:t xml:space="preserve">Secondary research (KSH, Eurostat) explores the major players in the energy market, energy providers, and the electricity and gas import/export balances of various countries.</w:t>
      </w:r>
    </w:p>
    <w:p>
      <w:pPr>
        <w:widowControl w:val="on"/>
        <w:pBdr/>
        <w:spacing w:before="240" w:after="240" w:line="240" w:lineRule="auto"/>
        <w:ind w:left="0" w:right="0"/>
        <w:jc w:val="left"/>
      </w:pPr>
      <w:r>
        <w:rPr>
          <w:color w:val="000000"/>
          <w:sz w:val="24"/>
          <w:szCs w:val="24"/>
        </w:rPr>
        <w:t xml:space="preserve">The goal is to investigate the changes and correlations in Hungary's and the EU’s energy sectors over the past 10 years, with a focus on electricity and gas trends, and compare the characteristics and effectiveness of different countries’ energy policies.</w:t>
      </w:r>
    </w:p>
    <w:p>
      <w:pPr>
        <w:widowControl w:val="on"/>
        <w:pBdr/>
        <w:spacing w:before="240" w:after="240" w:line="240" w:lineRule="auto"/>
        <w:ind w:left="0" w:right="0"/>
        <w:jc w:val="left"/>
      </w:pPr>
      <w:r>
        <w:rPr>
          <w:color w:val="000000"/>
          <w:sz w:val="24"/>
          <w:szCs w:val="24"/>
        </w:rPr>
        <w:t xml:space="preserve">Research questions:</w:t>
      </w:r>
    </w:p>
    <w:p>
      <w:pPr>
        <w:pStyle w:val="ListParagraphPHPDOCX"/>
        <w:numPr>
          <w:ilvl w:val="0"/>
          <w:numId w:val="79624001"/>
        </w:numPr>
        <w:spacing w:before="0" w:after="0" w:line="240" w:lineRule="auto"/>
        <w:contextualSpacing/>
        <w:jc w:val="left"/>
        <w:rPr>
          <w:sz w:val="24"/>
          <w:szCs w:val="24"/>
        </w:rPr>
      </w:pPr>
      <w:r>
        <w:rPr>
          <w:color w:val="000000"/>
          <w:sz w:val="24"/>
          <w:szCs w:val="24"/>
        </w:rPr>
        <w:t xml:space="preserve">What trends can be identified in electricity and gas consumption in the residential and non-residential sectors between 2012 and 2022?</w:t>
      </w:r>
    </w:p>
    <w:p>
      <w:pPr>
        <w:pStyle w:val="ListParagraphPHPDOCX"/>
        <w:numPr>
          <w:ilvl w:val="0"/>
          <w:numId w:val="79624001"/>
        </w:numPr>
        <w:spacing w:before="0" w:after="0" w:line="240" w:lineRule="auto"/>
        <w:contextualSpacing/>
        <w:jc w:val="left"/>
        <w:rPr>
          <w:sz w:val="24"/>
          <w:szCs w:val="24"/>
        </w:rPr>
      </w:pPr>
      <w:r>
        <w:rPr>
          <w:color w:val="000000"/>
          <w:sz w:val="24"/>
          <w:szCs w:val="24"/>
        </w:rPr>
        <w:t xml:space="preserve">How have electricity and gas prices changed in Hungary over the past 10 years, and is there a statistically significant correlation between price changes and their causes?</w:t>
      </w:r>
    </w:p>
    <w:p>
      <w:pPr>
        <w:pStyle w:val="ListParagraphPHPDOCX"/>
        <w:numPr>
          <w:ilvl w:val="0"/>
          <w:numId w:val="79624001"/>
        </w:numPr>
        <w:spacing w:before="0" w:after="0" w:line="240" w:lineRule="auto"/>
        <w:contextualSpacing/>
        <w:jc w:val="left"/>
        <w:rPr>
          <w:sz w:val="24"/>
          <w:szCs w:val="24"/>
        </w:rPr>
      </w:pPr>
      <w:r>
        <w:rPr>
          <w:color w:val="000000"/>
          <w:sz w:val="24"/>
          <w:szCs w:val="24"/>
        </w:rPr>
        <w:t xml:space="preserve">What relationship can be observed between domestic and international energy prices over the last 10 years?</w:t>
      </w:r>
    </w:p>
    <w:p>
      <w:pPr>
        <w:pStyle w:val="ListParagraphPHPDOCX"/>
        <w:numPr>
          <w:ilvl w:val="0"/>
          <w:numId w:val="79624001"/>
        </w:numPr>
        <w:spacing w:before="0" w:after="0" w:line="240" w:lineRule="auto"/>
        <w:contextualSpacing/>
        <w:jc w:val="left"/>
        <w:rPr>
          <w:sz w:val="24"/>
          <w:szCs w:val="24"/>
        </w:rPr>
      </w:pPr>
      <w:r>
        <w:rPr>
          <w:color w:val="000000"/>
          <w:sz w:val="24"/>
          <w:szCs w:val="24"/>
        </w:rPr>
        <w:t xml:space="preserve">What forecasts can be made for electricity and gas price trends over the next 5/10 years?</w:t>
      </w:r>
    </w:p>
    <w:p>
      <w:pPr>
        <w:pStyle w:val="ListParagraphPHPDOCX"/>
        <w:numPr>
          <w:ilvl w:val="0"/>
          <w:numId w:val="79624001"/>
        </w:numPr>
        <w:spacing w:before="0" w:after="0" w:line="240" w:lineRule="auto"/>
        <w:contextualSpacing/>
        <w:jc w:val="left"/>
        <w:rPr>
          <w:sz w:val="24"/>
          <w:szCs w:val="24"/>
        </w:rPr>
      </w:pPr>
      <w:r>
        <w:rPr>
          <w:color w:val="000000"/>
          <w:sz w:val="24"/>
          <w:szCs w:val="24"/>
        </w:rPr>
        <w:t xml:space="preserve">How has the economic position of key players in the domestic energy sector evolved over the past 10 years?</w:t>
      </w:r>
    </w:p>
    <w:p>
      <w:pPr>
        <w:widowControl w:val="on"/>
        <w:pBdr/>
        <w:spacing w:before="240" w:after="240" w:line="240" w:lineRule="auto"/>
        <w:ind w:left="0" w:right="0"/>
        <w:jc w:val="left"/>
      </w:pPr>
      <w:r>
        <w:rPr>
          <w:color w:val="000000"/>
          <w:sz w:val="24"/>
          <w:szCs w:val="24"/>
        </w:rPr>
        <w:t xml:space="preserve">The empirical part of my research is an evaluative study within the applied research domain, relying on quantitative data. It combines exploratory, descriptive, explanatory, and correlational research elements. Primary research analyzes long-term trends in electricity and gas consumption and prices in Hungary and EU countries, applying statistical methods (e.g., regression analysis, trend calculations, correlation studies).</w:t>
      </w:r>
    </w:p>
    <w:p>
      <w:pPr>
        <w:widowControl w:val="on"/>
        <w:pBdr/>
        <w:spacing w:before="240" w:after="240" w:line="240" w:lineRule="auto"/>
        <w:ind w:left="0" w:right="0"/>
        <w:jc w:val="left"/>
      </w:pPr>
      <w:r>
        <w:rPr>
          <w:color w:val="000000"/>
          <w:sz w:val="24"/>
          <w:szCs w:val="24"/>
        </w:rPr>
        <w:t xml:space="preserve">The results of this research provide a clear picture of the trends, changes, and correlations in the Hungarian and EU energy sectors over the past decade. Additionally, the study offers forecasts for electricity and gas price developments. Through this work, I aim to expand the scientific and empirical knowledge base in this field.</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24001">
    <w:multiLevelType w:val="hybridMultilevel"/>
    <w:lvl w:ilvl="0" w:tplc="62278901">
      <w:start w:val="1"/>
      <w:numFmt w:val="decimal"/>
      <w:lvlText w:val="%1."/>
      <w:lvlJc w:val="left"/>
      <w:pPr>
        <w:ind w:left="720" w:hanging="360"/>
      </w:pPr>
    </w:lvl>
    <w:lvl w:ilvl="1" w:tplc="62278901" w:tentative="1">
      <w:start w:val="1"/>
      <w:numFmt w:val="lowerLetter"/>
      <w:lvlText w:val="%2."/>
      <w:lvlJc w:val="left"/>
      <w:pPr>
        <w:ind w:left="1440" w:hanging="360"/>
      </w:pPr>
    </w:lvl>
    <w:lvl w:ilvl="2" w:tplc="62278901" w:tentative="1">
      <w:start w:val="1"/>
      <w:numFmt w:val="lowerRoman"/>
      <w:lvlText w:val="%3."/>
      <w:lvlJc w:val="right"/>
      <w:pPr>
        <w:ind w:left="2160" w:hanging="180"/>
      </w:pPr>
    </w:lvl>
    <w:lvl w:ilvl="3" w:tplc="62278901" w:tentative="1">
      <w:start w:val="1"/>
      <w:numFmt w:val="decimal"/>
      <w:lvlText w:val="%4."/>
      <w:lvlJc w:val="left"/>
      <w:pPr>
        <w:ind w:left="2880" w:hanging="360"/>
      </w:pPr>
    </w:lvl>
    <w:lvl w:ilvl="4" w:tplc="62278901" w:tentative="1">
      <w:start w:val="1"/>
      <w:numFmt w:val="lowerLetter"/>
      <w:lvlText w:val="%5."/>
      <w:lvlJc w:val="left"/>
      <w:pPr>
        <w:ind w:left="3600" w:hanging="360"/>
      </w:pPr>
    </w:lvl>
    <w:lvl w:ilvl="5" w:tplc="62278901" w:tentative="1">
      <w:start w:val="1"/>
      <w:numFmt w:val="lowerRoman"/>
      <w:lvlText w:val="%6."/>
      <w:lvlJc w:val="right"/>
      <w:pPr>
        <w:ind w:left="4320" w:hanging="180"/>
      </w:pPr>
    </w:lvl>
    <w:lvl w:ilvl="6" w:tplc="62278901" w:tentative="1">
      <w:start w:val="1"/>
      <w:numFmt w:val="decimal"/>
      <w:lvlText w:val="%7."/>
      <w:lvlJc w:val="left"/>
      <w:pPr>
        <w:ind w:left="5040" w:hanging="360"/>
      </w:pPr>
    </w:lvl>
    <w:lvl w:ilvl="7" w:tplc="62278901" w:tentative="1">
      <w:start w:val="1"/>
      <w:numFmt w:val="lowerLetter"/>
      <w:lvlText w:val="%8."/>
      <w:lvlJc w:val="left"/>
      <w:pPr>
        <w:ind w:left="5760" w:hanging="360"/>
      </w:pPr>
    </w:lvl>
    <w:lvl w:ilvl="8" w:tplc="62278901" w:tentative="1">
      <w:start w:val="1"/>
      <w:numFmt w:val="lowerRoman"/>
      <w:lvlText w:val="%9."/>
      <w:lvlJc w:val="right"/>
      <w:pPr>
        <w:ind w:left="6480" w:hanging="180"/>
      </w:pPr>
    </w:lvl>
  </w:abstractNum>
  <w:abstractNum w:abstractNumId="79623999">
    <w:multiLevelType w:val="hybridMultilevel"/>
    <w:lvl w:ilvl="0" w:tplc="15146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23999">
    <w:abstractNumId w:val="79623999"/>
  </w:num>
  <w:num w:numId="79624001">
    <w:abstractNumId w:val="796240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40451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