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NAGYPÁL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nagypalandris@gmail.com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Radnóti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öko-szorongás, a szorongás és a kockázatészlelés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öko-szorongás; szorongás; kockázatészlelés; ÖSZK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összefüggései lehetnek az öko-szorongásnak, a szorongásnak és a kockázatészlelésnek?</w:t>
      </w:r>
      <w:r>
        <w:rPr>
          <w:color w:val="000000"/>
          <w:sz w:val="24"/>
          <w:szCs w:val="24"/>
        </w:rPr>
        <w:br/>
        <w:t xml:space="preserve">Kutatásomban ehhez kapcsolódó kérdésekre kerestem a választ. A vizsgálathoz,- önkitöltős,</w:t>
      </w:r>
      <w:r>
        <w:rPr>
          <w:color w:val="000000"/>
          <w:sz w:val="24"/>
          <w:szCs w:val="24"/>
        </w:rPr>
        <w:br/>
        <w:t xml:space="preserve">magyar mintán validált tesztek kerültek felvételre, az általános szorongás teszt (DASS21), a</w:t>
      </w:r>
      <w:r>
        <w:rPr>
          <w:color w:val="000000"/>
          <w:sz w:val="24"/>
          <w:szCs w:val="24"/>
        </w:rPr>
        <w:br/>
        <w:t xml:space="preserve">Kockázatészlelési Kérdőív (DOSPERT) és az Öko-szorongás Kérdőív (ÖSZK). A minta (N =</w:t>
      </w:r>
      <w:r>
        <w:rPr>
          <w:color w:val="000000"/>
          <w:sz w:val="24"/>
          <w:szCs w:val="24"/>
        </w:rPr>
        <w:br/>
        <w:t xml:space="preserve">670) 17 és 24 éves kor közötti, nemek szerint egyenlő eloszlású, lakóhelyileg és életkorilag is</w:t>
      </w:r>
      <w:r>
        <w:rPr>
          <w:color w:val="000000"/>
          <w:sz w:val="24"/>
          <w:szCs w:val="24"/>
        </w:rPr>
        <w:br/>
        <w:t xml:space="preserve">az országos mintához közeli arányokkal bír. Az eredmények megerősítik az általános szorongás</w:t>
      </w:r>
      <w:r>
        <w:rPr>
          <w:color w:val="000000"/>
          <w:sz w:val="24"/>
          <w:szCs w:val="24"/>
        </w:rPr>
        <w:br/>
        <w:t xml:space="preserve">és az öko-szorongás mindkét alskálája közötti pozitív kapcsolatot, továbbá alapot adnak az öko-</w:t>
      </w:r>
      <w:r>
        <w:rPr>
          <w:color w:val="000000"/>
          <w:sz w:val="24"/>
          <w:szCs w:val="24"/>
        </w:rPr>
        <w:br/>
        <w:t xml:space="preserve">szorongás adaptívabb és maladaptívabb formája közötti distinkcióra. A kockázatészlelés és a</w:t>
      </w:r>
      <w:r>
        <w:rPr>
          <w:color w:val="000000"/>
          <w:sz w:val="24"/>
          <w:szCs w:val="24"/>
        </w:rPr>
        <w:br/>
        <w:t xml:space="preserve">szorongás között is szignifikáns kapcsolat keletkezett. Az összes mérőeszközön szignifikáns</w:t>
      </w:r>
      <w:r>
        <w:rPr>
          <w:color w:val="000000"/>
          <w:sz w:val="24"/>
          <w:szCs w:val="24"/>
        </w:rPr>
        <w:br/>
        <w:t xml:space="preserve">eltérés volt megfigyelhető a nők és a férfiak között. A nőkre mindegyik teszten magasabb</w:t>
      </w:r>
      <w:r>
        <w:rPr>
          <w:color w:val="000000"/>
          <w:sz w:val="24"/>
          <w:szCs w:val="24"/>
        </w:rPr>
        <w:br/>
        <w:t xml:space="preserve">értékek jellemzőbbek. A vizsgálat részét képezi a 2022-ben validált ÖSZK faktorstruktúrájának</w:t>
      </w:r>
      <w:r>
        <w:rPr>
          <w:color w:val="000000"/>
          <w:sz w:val="24"/>
          <w:szCs w:val="24"/>
        </w:rPr>
        <w:br/>
        <w:t xml:space="preserve">ellenőrzése is. Nem utolsó sorban pedig a kutatás a kockázatészlelés vizsgálatára tett kísérletet</w:t>
      </w:r>
      <w:r>
        <w:rPr>
          <w:color w:val="000000"/>
          <w:sz w:val="24"/>
          <w:szCs w:val="24"/>
        </w:rPr>
        <w:br/>
        <w:t xml:space="preserve">az öko-szorongással kapcsolatban, amely új kutatási iránynak számít.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07906">
    <w:multiLevelType w:val="hybridMultilevel"/>
    <w:lvl w:ilvl="0" w:tplc="80622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07906">
    <w:abstractNumId w:val="42307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687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