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VAN NIEKERK, ASHLEY ANZET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ashleyanzet96@gmail.com</w:t>
            </w:r>
            <w:r w:rsidRPr="001067CD">
              <w:rPr>
                <w:i/>
              </w:rPr>
              <w:br/>
            </w:r>
            <w:r w:rsidR="00A96AEC">
              <w:t>Állatorvos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Pásztiné Gere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Repositioning of matriptase inhibitors against Streptococcus suis infection.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IPEC-J2 cell; Piglets; Oxidative stress; Cytotoxicity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Piglets from industrial pig farming are most susceptible to environmental</w:t>
      </w:r>
      <w:r>
        <w:rPr>
          <w:color w:val="000000"/>
          <w:sz w:val="24"/>
          <w:szCs w:val="24"/>
        </w:rPr>
        <w:br/>
        <w:t xml:space="preserve">pathogens during the post weaning period as a result of their weakened</w:t>
      </w:r>
      <w:r>
        <w:rPr>
          <w:color w:val="000000"/>
          <w:sz w:val="24"/>
          <w:szCs w:val="24"/>
        </w:rPr>
        <w:br/>
        <w:t xml:space="preserve">immune system. Streptococcus (S.) suis serves as one of these pathogens</w:t>
      </w:r>
      <w:r>
        <w:rPr>
          <w:color w:val="000000"/>
          <w:sz w:val="24"/>
          <w:szCs w:val="24"/>
        </w:rPr>
        <w:br/>
        <w:t xml:space="preserve">which is often treated with antimicrobial agents. The increasing occurrence</w:t>
      </w:r>
      <w:r>
        <w:rPr>
          <w:color w:val="000000"/>
          <w:sz w:val="24"/>
          <w:szCs w:val="24"/>
        </w:rPr>
        <w:br/>
        <w:t xml:space="preserve">of antimicrobial resistance against zoonotic bacteria such as S. suis proves the</w:t>
      </w:r>
      <w:r>
        <w:rPr>
          <w:color w:val="000000"/>
          <w:sz w:val="24"/>
          <w:szCs w:val="24"/>
        </w:rPr>
        <w:br/>
        <w:t xml:space="preserve">need for new therapeutical strategies, including the repositioning of drugs. In</w:t>
      </w:r>
      <w:r>
        <w:rPr>
          <w:color w:val="000000"/>
          <w:sz w:val="24"/>
          <w:szCs w:val="24"/>
        </w:rPr>
        <w:br/>
        <w:t xml:space="preserve">this study, susceptibilities of bacterial isolates were tested toward ten different</w:t>
      </w:r>
      <w:r>
        <w:rPr>
          <w:color w:val="000000"/>
          <w:sz w:val="24"/>
          <w:szCs w:val="24"/>
        </w:rPr>
        <w:br/>
        <w:t xml:space="preserve">3-amidinophenyalanine (Phe(3-Am)) derivatives via the determination of</w:t>
      </w:r>
      <w:r>
        <w:rPr>
          <w:color w:val="000000"/>
          <w:sz w:val="24"/>
          <w:szCs w:val="24"/>
        </w:rPr>
        <w:br/>
        <w:t xml:space="preserve">minimum inhibitory concentration values. The protease inhibitors, such as the</w:t>
      </w:r>
      <w:r>
        <w:rPr>
          <w:color w:val="000000"/>
          <w:sz w:val="24"/>
          <w:szCs w:val="24"/>
        </w:rPr>
        <w:br/>
        <w:t xml:space="preserve">compounds MI-432, MI-471, and MI-476, showed remarkable antibacterial</w:t>
      </w:r>
      <w:r>
        <w:rPr>
          <w:color w:val="000000"/>
          <w:sz w:val="24"/>
          <w:szCs w:val="24"/>
        </w:rPr>
        <w:br/>
        <w:t xml:space="preserve">effects against S. suis. Their drug interaction potential was evaluated by using</w:t>
      </w:r>
      <w:r>
        <w:rPr>
          <w:color w:val="000000"/>
          <w:sz w:val="24"/>
          <w:szCs w:val="24"/>
        </w:rPr>
        <w:br/>
        <w:t xml:space="preserve">human liver microsomal cytochrome P450 (CYP450) measurements. In our</w:t>
      </w:r>
      <w:r>
        <w:rPr>
          <w:color w:val="000000"/>
          <w:sz w:val="24"/>
          <w:szCs w:val="24"/>
        </w:rPr>
        <w:br/>
        <w:t xml:space="preserve">work, non-tumorigenic IPEC-J2 cells and primary porcine hepatocytes were</w:t>
      </w:r>
      <w:r>
        <w:rPr>
          <w:color w:val="000000"/>
          <w:sz w:val="24"/>
          <w:szCs w:val="24"/>
        </w:rPr>
        <w:br/>
        <w:t xml:space="preserve">infected with S. suis for 24 h in the presence or absence of inhibitors and the</w:t>
      </w:r>
      <w:r>
        <w:rPr>
          <w:color w:val="000000"/>
          <w:sz w:val="24"/>
          <w:szCs w:val="24"/>
        </w:rPr>
        <w:br/>
        <w:t xml:space="preserve">putative beneficial impact of these inhibitors was investigated on cell viability</w:t>
      </w:r>
      <w:r>
        <w:rPr>
          <w:color w:val="000000"/>
          <w:sz w:val="24"/>
          <w:szCs w:val="24"/>
        </w:rPr>
        <w:br/>
        <w:t xml:space="preserve">(Neutral red assay), on interleukin (IL)-6 levels (ELISA technique), and on</w:t>
      </w:r>
      <w:r>
        <w:rPr>
          <w:color w:val="000000"/>
          <w:sz w:val="24"/>
          <w:szCs w:val="24"/>
        </w:rPr>
        <w:br/>
        <w:t xml:space="preserve">IC and EC redox status (DCFH-DA and Amplex red method). All the protease</w:t>
      </w:r>
      <w:r>
        <w:rPr>
          <w:color w:val="000000"/>
          <w:sz w:val="24"/>
          <w:szCs w:val="24"/>
        </w:rPr>
        <w:br/>
        <w:t xml:space="preserve">inhibitors (except MI-432) prevented S. suis-induced cell death and reduced</w:t>
      </w:r>
      <w:r>
        <w:rPr>
          <w:color w:val="000000"/>
          <w:sz w:val="24"/>
          <w:szCs w:val="24"/>
        </w:rPr>
        <w:br/>
        <w:t xml:space="preserve">proinflammatory IL-6 levels. It was also found that MI-432 and MI-476 had</w:t>
      </w:r>
      <w:r>
        <w:rPr>
          <w:color w:val="000000"/>
          <w:sz w:val="24"/>
          <w:szCs w:val="24"/>
        </w:rPr>
        <w:br/>
        <w:t xml:space="preserve">extracellular antioxidant effects in an intestinal cell model upon S. suis</w:t>
      </w:r>
      <w:r>
        <w:rPr>
          <w:color w:val="000000"/>
          <w:sz w:val="24"/>
          <w:szCs w:val="24"/>
        </w:rPr>
        <w:br/>
        <w:t xml:space="preserve">infection. Whereas all three inhibitors had intracellular antioxidant effects in</w:t>
      </w:r>
      <w:r>
        <w:rPr>
          <w:color w:val="000000"/>
          <w:sz w:val="24"/>
          <w:szCs w:val="24"/>
        </w:rPr>
        <w:br/>
        <w:t xml:space="preserve">the same model upon S. suis infection. Concentration-dependent suppression</w:t>
      </w:r>
      <w:r>
        <w:rPr>
          <w:color w:val="000000"/>
          <w:sz w:val="24"/>
          <w:szCs w:val="24"/>
        </w:rPr>
        <w:br/>
        <w:t xml:space="preserve">of CYP3A4 function was proven via application of all three inhibitors at</w:t>
      </w:r>
      <w:r>
        <w:rPr>
          <w:color w:val="000000"/>
          <w:sz w:val="24"/>
          <w:szCs w:val="24"/>
        </w:rPr>
        <w:br/>
        <w:t xml:space="preserve">concentrations 10, 25 and 50 µM to human microsomal preparations. In</w:t>
      </w:r>
      <w:r>
        <w:rPr>
          <w:color w:val="000000"/>
          <w:sz w:val="24"/>
          <w:szCs w:val="24"/>
        </w:rPr>
        <w:br/>
        <w:t xml:space="preserve">conclusion, our study indicates that the potential antiviral Phe(3-Am)</w:t>
      </w:r>
      <w:r>
        <w:rPr>
          <w:color w:val="000000"/>
          <w:sz w:val="24"/>
          <w:szCs w:val="24"/>
        </w:rPr>
        <w:br/>
        <w:t xml:space="preserve">derivatives with 2′,4′ dichloro-biphenyl moieties exert beneficial effects on</w:t>
      </w:r>
      <w:r>
        <w:rPr>
          <w:color w:val="000000"/>
          <w:sz w:val="24"/>
          <w:szCs w:val="24"/>
        </w:rPr>
        <w:br/>
        <w:t xml:space="preserve">IC and EC ROS status as well as IL-6 cytokine production in vitro. This</w:t>
      </w:r>
      <w:r>
        <w:rPr>
          <w:color w:val="000000"/>
          <w:sz w:val="24"/>
          <w:szCs w:val="24"/>
        </w:rPr>
        <w:br/>
        <w:t xml:space="preserve">suggests that these drugs are effective candidates against S. suis infection due</w:t>
      </w:r>
      <w:r>
        <w:rPr>
          <w:color w:val="000000"/>
          <w:sz w:val="24"/>
          <w:szCs w:val="24"/>
        </w:rPr>
        <w:br/>
        <w:t xml:space="preserve">to their antibacterial effects.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696883">
    <w:multiLevelType w:val="hybridMultilevel"/>
    <w:lvl w:ilvl="0" w:tplc="927135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696883">
    <w:abstractNumId w:val="296968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27425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