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FERRÓ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ferrokristof938@gmail.com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nagylétszámú pulyka állományokból izolált Clostridium perfringens törzsek toxintermelésért felelős génjei és antibiotikum-érzékenységük közötti összefüggés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Clostridium perfringens; toxingének; antibiotikum-érzékenység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egyik legnagyobb kihívása az antimikrobiális rezisztencia globális terjedése,</w:t>
      </w:r>
      <w:r>
        <w:rPr>
          <w:color w:val="000000"/>
          <w:sz w:val="24"/>
          <w:szCs w:val="24"/>
        </w:rPr>
        <w:br/>
        <w:t xml:space="preserve">amely közös gondolkodásra sarkallja az állat- és közegészségügy területén dolgozó</w:t>
      </w:r>
      <w:r>
        <w:rPr>
          <w:color w:val="000000"/>
          <w:sz w:val="24"/>
          <w:szCs w:val="24"/>
        </w:rPr>
        <w:br/>
        <w:t xml:space="preserve">szakembereket. A Clostridium perfringens a baromfiipar számára még ma is jelentős</w:t>
      </w:r>
      <w:r>
        <w:rPr>
          <w:color w:val="000000"/>
          <w:sz w:val="24"/>
          <w:szCs w:val="24"/>
        </w:rPr>
        <w:br/>
        <w:t xml:space="preserve">gazdasági károkat okozhat, kommenzalista törzsei pedig nemcsak rezisztenciagének, hanem</w:t>
      </w:r>
      <w:r>
        <w:rPr>
          <w:color w:val="000000"/>
          <w:sz w:val="24"/>
          <w:szCs w:val="24"/>
        </w:rPr>
        <w:br/>
        <w:t xml:space="preserve">toxintermelésért felelős gének természetes hordozói és fenntartói is lehetnek.</w:t>
      </w:r>
      <w:r>
        <w:rPr>
          <w:color w:val="000000"/>
          <w:sz w:val="24"/>
          <w:szCs w:val="24"/>
        </w:rPr>
        <w:br/>
        <w:t xml:space="preserve">Célul tűztük ki, hogy felmérjük a magyarországi nagylétszámú pulykaállományokból</w:t>
      </w:r>
      <w:r>
        <w:rPr>
          <w:color w:val="000000"/>
          <w:sz w:val="24"/>
          <w:szCs w:val="24"/>
        </w:rPr>
        <w:br/>
        <w:t xml:space="preserve">izolált kommenzalista Clostridium perfringens törzsek antimikrobiális érzékenységi</w:t>
      </w:r>
      <w:r>
        <w:rPr>
          <w:color w:val="000000"/>
          <w:sz w:val="24"/>
          <w:szCs w:val="24"/>
        </w:rPr>
        <w:br/>
        <w:t xml:space="preserve">profilját minimális gátló koncentráció (MIC) meghatározásával, különös tekintettel állat- és</w:t>
      </w:r>
      <w:r>
        <w:rPr>
          <w:color w:val="000000"/>
          <w:sz w:val="24"/>
          <w:szCs w:val="24"/>
        </w:rPr>
        <w:br/>
        <w:t xml:space="preserve">közegészségügyi szempontból kiemelten fontos hatóanyagokra. Kutatásunkat PCR</w:t>
      </w:r>
      <w:r>
        <w:rPr>
          <w:color w:val="000000"/>
          <w:sz w:val="24"/>
          <w:szCs w:val="24"/>
        </w:rPr>
        <w:br/>
        <w:t xml:space="preserve">vizsgálattal egészítettük ki, amellyel a fajra jellemző toxingének jelenlétét</w:t>
      </w:r>
      <w:r>
        <w:rPr>
          <w:color w:val="000000"/>
          <w:sz w:val="24"/>
          <w:szCs w:val="24"/>
        </w:rPr>
        <w:br/>
        <w:t xml:space="preserve">vizsgáltuk, majd összefüggéseket kerestünk a gének jelenléte és az antimikrobiális</w:t>
      </w:r>
      <w:r>
        <w:rPr>
          <w:color w:val="000000"/>
          <w:sz w:val="24"/>
          <w:szCs w:val="24"/>
        </w:rPr>
        <w:br/>
        <w:t xml:space="preserve">rezisztencia profil között.</w:t>
      </w:r>
      <w:r>
        <w:rPr>
          <w:color w:val="000000"/>
          <w:sz w:val="24"/>
          <w:szCs w:val="24"/>
        </w:rPr>
        <w:br/>
        <w:t xml:space="preserve">Összesen 146 pulykából izolált kommenzalista törzset vizsgáltunk 14 különböző</w:t>
      </w:r>
      <w:r>
        <w:rPr>
          <w:color w:val="000000"/>
          <w:sz w:val="24"/>
          <w:szCs w:val="24"/>
        </w:rPr>
        <w:br/>
        <w:t xml:space="preserve">hatóanyagra, amelyek közül hat rendelkezett klinikai törésponttal. Kiszámítottuk a vizsgált</w:t>
      </w:r>
      <w:r>
        <w:rPr>
          <w:color w:val="000000"/>
          <w:sz w:val="24"/>
          <w:szCs w:val="24"/>
        </w:rPr>
        <w:br/>
        <w:t xml:space="preserve">populáció MIC50 és MIC90 értékeit, mindkét érték az imipenem klinikai töréspontja alatt volt,</w:t>
      </w:r>
      <w:r>
        <w:rPr>
          <w:color w:val="000000"/>
          <w:sz w:val="24"/>
          <w:szCs w:val="24"/>
        </w:rPr>
        <w:br/>
        <w:t xml:space="preserve">azonban amoxicillin és klindamicin esetében csak a MIC50 érték volt ezen határérték alatt.</w:t>
      </w:r>
      <w:r>
        <w:rPr>
          <w:color w:val="000000"/>
          <w:sz w:val="24"/>
          <w:szCs w:val="24"/>
        </w:rPr>
        <w:br/>
        <w:t xml:space="preserve">A Clostridium perfringens törzsek által okozott fertőzések kezelésében régóta használt</w:t>
      </w:r>
      <w:r>
        <w:rPr>
          <w:color w:val="000000"/>
          <w:sz w:val="24"/>
          <w:szCs w:val="24"/>
        </w:rPr>
        <w:br/>
        <w:t xml:space="preserve">penicillin iránti érzékenység csökkent, a törzsek mindössze 44,5%-a volt érzékeny rá, míg</w:t>
      </w:r>
      <w:r>
        <w:rPr>
          <w:color w:val="000000"/>
          <w:sz w:val="24"/>
          <w:szCs w:val="24"/>
        </w:rPr>
        <w:br/>
        <w:t xml:space="preserve">amoxicillinnel szemben 87,7%-uk mutatott érzékenységet. A legalacsonyabb érzékenységet</w:t>
      </w:r>
      <w:r>
        <w:rPr>
          <w:color w:val="000000"/>
          <w:sz w:val="24"/>
          <w:szCs w:val="24"/>
        </w:rPr>
        <w:br/>
        <w:t xml:space="preserve">a linkomicin esetében tapasztaltuk, ahol a törzsek csupán 11,6%-a volt érzékeny.</w:t>
      </w:r>
      <w:r>
        <w:rPr>
          <w:color w:val="000000"/>
          <w:sz w:val="24"/>
          <w:szCs w:val="24"/>
        </w:rPr>
        <w:br/>
        <w:t xml:space="preserve">A PCR vizsgálatok során a vizsgált törzsek mindegyike hordozott alpha major</w:t>
      </w:r>
      <w:r>
        <w:rPr>
          <w:color w:val="000000"/>
          <w:sz w:val="24"/>
          <w:szCs w:val="24"/>
        </w:rPr>
        <w:br/>
        <w:t xml:space="preserve">toxingént, 23,9%-uk béta major, 15,8%-uk béta2 minor, 3,4%-uk netB minor és 2,7%-uk</w:t>
      </w:r>
      <w:r>
        <w:rPr>
          <w:color w:val="000000"/>
          <w:sz w:val="24"/>
          <w:szCs w:val="24"/>
        </w:rPr>
        <w:br/>
        <w:t xml:space="preserve">epszilon major toxingént hordozott. A toxintermelésért felelős gének jelenléte és a törzsek</w:t>
      </w:r>
      <w:r>
        <w:rPr>
          <w:color w:val="000000"/>
          <w:sz w:val="24"/>
          <w:szCs w:val="24"/>
        </w:rPr>
        <w:br/>
        <w:t xml:space="preserve">antimikrobiális érzékenységi profilja között azonban nem mutattunk ki összefüggést,</w:t>
      </w:r>
      <w:r>
        <w:rPr>
          <w:color w:val="000000"/>
          <w:sz w:val="24"/>
          <w:szCs w:val="24"/>
        </w:rPr>
        <w:br/>
        <w:t xml:space="preserve">statisztikai elemzéssel nem találtunk szignifikáns különbséget a MIC-értékek és a</w:t>
      </w:r>
      <w:r>
        <w:rPr>
          <w:color w:val="000000"/>
          <w:sz w:val="24"/>
          <w:szCs w:val="24"/>
        </w:rPr>
        <w:br/>
        <w:t xml:space="preserve">toxintermelésért felelős gének megléte vagy hiánya között.</w:t>
      </w:r>
      <w:r>
        <w:rPr>
          <w:color w:val="000000"/>
          <w:sz w:val="24"/>
          <w:szCs w:val="24"/>
        </w:rPr>
        <w:br/>
        <w:t xml:space="preserve">Összességében elmondhatjuk, hogy a Clostridium perfringens törzsek megőrizték</w:t>
      </w:r>
      <w:r>
        <w:rPr>
          <w:color w:val="000000"/>
          <w:sz w:val="24"/>
          <w:szCs w:val="24"/>
        </w:rPr>
        <w:br/>
        <w:t xml:space="preserve">érzékenységüket a kezelésükben elsődlegesen választandó béta-laktám antibiotikumokkal</w:t>
      </w:r>
      <w:r>
        <w:rPr>
          <w:color w:val="000000"/>
          <w:sz w:val="24"/>
          <w:szCs w:val="24"/>
        </w:rPr>
        <w:br/>
        <w:t xml:space="preserve">szemben, a rendszeres felmérések segíthetnek az időbeni trendek meghatározásában. A</w:t>
      </w:r>
      <w:r>
        <w:rPr>
          <w:color w:val="000000"/>
          <w:sz w:val="24"/>
          <w:szCs w:val="24"/>
        </w:rPr>
        <w:br/>
        <w:t xml:space="preserve">jövőben érdemes nagyobb mintaszámmal megismételni a vizsgálatokat, és a multirezisztens</w:t>
      </w:r>
      <w:r>
        <w:rPr>
          <w:color w:val="000000"/>
          <w:sz w:val="24"/>
          <w:szCs w:val="24"/>
        </w:rPr>
        <w:br/>
        <w:t xml:space="preserve">törzsek további vizsgálatát újgenerációs szekvenálás segítségével folytatni.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22171">
    <w:multiLevelType w:val="hybridMultilevel"/>
    <w:lvl w:ilvl="0" w:tplc="49544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22171">
    <w:abstractNumId w:val="53022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048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