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GAMBA, DAVID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thedavidgamba@gmail.com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Pásztiné Gere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pharmacological characterization of antiviral inhibitors of host matriptase/TMPRSS2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matriptáz; TMPRSS2, influenzavírus, citokróm P450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has been well established that various corona- and influenza viruses</w:t>
      </w:r>
      <w:r>
        <w:rPr>
          <w:color w:val="000000"/>
          <w:sz w:val="24"/>
          <w:szCs w:val="24"/>
        </w:rPr>
        <w:br/>
        <w:t xml:space="preserve">undergo activation by type II transmembrane serine proteases for entry into</w:t>
      </w:r>
      <w:r>
        <w:rPr>
          <w:color w:val="000000"/>
          <w:sz w:val="24"/>
          <w:szCs w:val="24"/>
        </w:rPr>
        <w:br/>
        <w:t xml:space="preserve">host cells, making these host-cell proteases attractive pharmacological</w:t>
      </w:r>
      <w:r>
        <w:rPr>
          <w:color w:val="000000"/>
          <w:sz w:val="24"/>
          <w:szCs w:val="24"/>
        </w:rPr>
        <w:br/>
        <w:t xml:space="preserve">targets for the treatment of respiratory infections caused by these viruses.</w:t>
      </w:r>
      <w:r>
        <w:rPr>
          <w:color w:val="000000"/>
          <w:sz w:val="24"/>
          <w:szCs w:val="24"/>
        </w:rPr>
        <w:br/>
        <w:t xml:space="preserve">Additionally, due to the shortage of other effective pharmaceutical</w:t>
      </w:r>
      <w:r>
        <w:rPr>
          <w:color w:val="000000"/>
          <w:sz w:val="24"/>
          <w:szCs w:val="24"/>
        </w:rPr>
        <w:br/>
        <w:t xml:space="preserve">compounds, virus mutations, and the looming threat of future airborne</w:t>
      </w:r>
      <w:r>
        <w:rPr>
          <w:color w:val="000000"/>
          <w:sz w:val="24"/>
          <w:szCs w:val="24"/>
        </w:rPr>
        <w:br/>
        <w:t xml:space="preserve">pandemics, novel drugs for the treatment of viral infections are imperative</w:t>
      </w:r>
      <w:r>
        <w:rPr>
          <w:color w:val="000000"/>
          <w:sz w:val="24"/>
          <w:szCs w:val="24"/>
        </w:rPr>
        <w:br/>
        <w:t xml:space="preserve">for public health. In this study, seven different 3-amidinophenylalaninebased inhibitors (MI-21, MI-463, MI-472, MI-485, MI-1903, and MI-1904)</w:t>
      </w:r>
      <w:r>
        <w:rPr>
          <w:color w:val="000000"/>
          <w:sz w:val="24"/>
          <w:szCs w:val="24"/>
        </w:rPr>
        <w:br/>
        <w:t xml:space="preserve">of host-cell proteases matriptase and TMPRSS2 were investigated. The</w:t>
      </w:r>
      <w:r>
        <w:rPr>
          <w:color w:val="000000"/>
          <w:sz w:val="24"/>
          <w:szCs w:val="24"/>
        </w:rPr>
        <w:br/>
        <w:t xml:space="preserve">cytotoxic effects and inhibitory capacity of the protease inhibitors on</w:t>
      </w:r>
      <w:r>
        <w:rPr>
          <w:color w:val="000000"/>
          <w:sz w:val="24"/>
          <w:szCs w:val="24"/>
        </w:rPr>
        <w:br/>
        <w:t xml:space="preserve">cytochrome P450 (CYP) enzymes were evaluated with fluorometric assays.</w:t>
      </w:r>
      <w:r>
        <w:rPr>
          <w:color w:val="000000"/>
          <w:sz w:val="24"/>
          <w:szCs w:val="24"/>
        </w:rPr>
        <w:br/>
        <w:t xml:space="preserve">Metabolic depletion rates of each inhibitor were determined over a 120-min</w:t>
      </w:r>
      <w:r>
        <w:rPr>
          <w:color w:val="000000"/>
          <w:sz w:val="24"/>
          <w:szCs w:val="24"/>
        </w:rPr>
        <w:br/>
        <w:t xml:space="preserve">period by liquid chromatography-tandem mass spectrometry in primary</w:t>
      </w:r>
      <w:r>
        <w:rPr>
          <w:color w:val="000000"/>
          <w:sz w:val="24"/>
          <w:szCs w:val="24"/>
        </w:rPr>
        <w:br/>
        <w:t xml:space="preserve">human hepatocytes, and various pharmacokinetic (PK) parameters,</w:t>
      </w:r>
      <w:r>
        <w:rPr>
          <w:color w:val="000000"/>
          <w:sz w:val="24"/>
          <w:szCs w:val="24"/>
        </w:rPr>
        <w:br/>
        <w:t xml:space="preserve">including half-life, intrinsic clearance, hepatic extraction ratio, and</w:t>
      </w:r>
      <w:r>
        <w:rPr>
          <w:color w:val="000000"/>
          <w:sz w:val="24"/>
          <w:szCs w:val="24"/>
        </w:rPr>
        <w:br/>
        <w:t xml:space="preserve">bioavailability, were calculated. Furthermore, the antiviral efficacy of</w:t>
      </w:r>
      <w:r>
        <w:rPr>
          <w:color w:val="000000"/>
          <w:sz w:val="24"/>
          <w:szCs w:val="24"/>
        </w:rPr>
        <w:br/>
        <w:t xml:space="preserve">selected protease inhibitors against influenza A virus subtypes H1N1 and</w:t>
      </w:r>
      <w:r>
        <w:rPr>
          <w:color w:val="000000"/>
          <w:sz w:val="24"/>
          <w:szCs w:val="24"/>
        </w:rPr>
        <w:br/>
        <w:t xml:space="preserve">H9N2 was evaluated in vitro as well. Except for MI-21, all other inhibitors</w:t>
      </w:r>
      <w:r>
        <w:rPr>
          <w:color w:val="000000"/>
          <w:sz w:val="24"/>
          <w:szCs w:val="24"/>
        </w:rPr>
        <w:br/>
        <w:t xml:space="preserve">significantly inhibited CYP3A4, and none of the compounds showed</w:t>
      </w:r>
      <w:r>
        <w:rPr>
          <w:color w:val="000000"/>
          <w:sz w:val="24"/>
          <w:szCs w:val="24"/>
        </w:rPr>
        <w:br/>
        <w:t xml:space="preserve">inhibitory activity on enzymes CYP1A2, CYP2C9, CYP2C19, and</w:t>
      </w:r>
      <w:r>
        <w:rPr>
          <w:color w:val="000000"/>
          <w:sz w:val="24"/>
          <w:szCs w:val="24"/>
        </w:rPr>
        <w:br/>
        <w:t xml:space="preserve">CYP2D6. Analysis of calculated PK parameters revealed that inhibitors MI463, MI-472, MI-485, MI-1900, and MI-1904 boasted better stability than</w:t>
      </w:r>
      <w:r>
        <w:rPr>
          <w:color w:val="000000"/>
          <w:sz w:val="24"/>
          <w:szCs w:val="24"/>
        </w:rPr>
        <w:br/>
        <w:t xml:space="preserve">MI-21 and MI-1903, and these results were complimented by the similar</w:t>
      </w:r>
      <w:r>
        <w:rPr>
          <w:color w:val="000000"/>
          <w:sz w:val="24"/>
          <w:szCs w:val="24"/>
        </w:rPr>
        <w:br/>
        <w:t xml:space="preserve">findings of the depletion study, in which MI-21 and MI-1903 retained the</w:t>
      </w:r>
      <w:r>
        <w:rPr>
          <w:color w:val="000000"/>
          <w:sz w:val="24"/>
          <w:szCs w:val="24"/>
        </w:rPr>
        <w:br/>
        <w:t xml:space="preserve">lowest % of their parent compounds after 120 min. After a 24-hour</w:t>
      </w:r>
      <w:r>
        <w:rPr>
          <w:color w:val="000000"/>
          <w:sz w:val="24"/>
          <w:szCs w:val="24"/>
        </w:rPr>
        <w:br/>
        <w:t xml:space="preserve">incubation period, inhibitors MI-463 and MI-1900 displayed significant</w:t>
      </w:r>
      <w:r>
        <w:rPr>
          <w:color w:val="000000"/>
          <w:sz w:val="24"/>
          <w:szCs w:val="24"/>
        </w:rPr>
        <w:br/>
        <w:t xml:space="preserve">anti-H1N1 properties and MI-463 also showed robust antiviral effects</w:t>
      </w:r>
      <w:r>
        <w:rPr>
          <w:color w:val="000000"/>
          <w:sz w:val="24"/>
          <w:szCs w:val="24"/>
        </w:rPr>
        <w:br/>
        <w:t xml:space="preserve">against H9N2 at 20 and 50 µM. Our findings suggest that MI-463 and MI1900 can be used to prevent entry of these viruses into cells by suppression</w:t>
      </w:r>
      <w:r>
        <w:rPr>
          <w:color w:val="000000"/>
          <w:sz w:val="24"/>
          <w:szCs w:val="24"/>
        </w:rPr>
        <w:br/>
        <w:t xml:space="preserve">of host matriptase/TMPRSS2.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33561">
    <w:multiLevelType w:val="hybridMultilevel"/>
    <w:lvl w:ilvl="0" w:tplc="35684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33561">
    <w:abstractNumId w:val="20033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420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