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 HAJNALKA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erdoshajnalka04@gmail.com</w:t>
            </w:r>
            <w:r w:rsidRPr="001067CD">
              <w:rPr>
                <w:i/>
              </w:rPr>
              <w:br/>
            </w:r>
            <w:r w:rsidR="00A96AEC">
              <w:t>Élelmiszerbiztonsági- és minőségi 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Belák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ÉLTI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Eva Wagner</w:t>
            </w:r>
          </w:p>
          <w:p w:rsidR="00DB4822" w:rsidRDefault="00DB4822" w:rsidP="00BA6BAF">
            <w:pPr>
              <w:pStyle w:val="Konzulensektitulus"/>
            </w:pPr>
            <w:r w:rsidRPr="00DB4822">
              <w:t>postdoctoral researcher,  The University of Natural Resources and Life Sciences, Vienna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Aszalt gyümölcsök mikrobiális sokféleségének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Aszalványok; ozmotikus stressz; MALDI-TOF MS; szekvenálás; E.coli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aszalt gyümölcsök mikrobiológiai sokfélesége ritkán kutatott terület, annak ellenére is, hogy az aszalt gyümölcsök közkedvelt élelmiszercsoport, illetve fogyasztásuk rengeteg előnnyel járhat. Mivel az aszalt gyümölcsök nagyrésze úgynevezett "ready-to-eat" snack vagyis megvásárlás után azonnal fogyasztható, így élelmiszerbiztonsági kockázata nem elhanyagolható. Ugyan a gyümölcsöket aszalás során éri hőkezelés, azonban ez a hőmérséklet nagyjából 30-50° Celsius (a mazsola esetén, Cheng et al., 2022), ami a legtöbb élelmiszer eredetű kórokozó eltávolításához nem megfelelő. OTDK dolgozatomban Magyaroroszágról és Ausztriából származó aszalvány mintákat (sárgabarackot, szilvát és mazsolát) vizsgáltam MALDI-TOF MS módszerrel, illetve 16S rRNS szekvenálással (az Oxford Nanopore eszközzel). Tömegspektometriás módszerrel 25 féle mikroorganizmust lehetett kimutatni, jellemzően spórás baktériumokat például a Bacillus cereus-t, ami nagyjából 500-700 élelmiszer eredetű megbetegedést okoz évente az Európai Unióban (Messelhäußer et al., 2018). A 16S rRNS szekvenálással majdnem ötször több mikroorganizmus volt kimutatható, 124 féle jellemzően Bacillus és Straphylococcus nemzetség került kimutatásra.</w:t>
      </w:r>
      <w:r>
        <w:rPr>
          <w:color w:val="000000"/>
          <w:sz w:val="24"/>
          <w:szCs w:val="24"/>
        </w:rPr>
        <w:br/>
        <w:t xml:space="preserve">A két módszer összehasonlításán túl, munkám egyik fő kérdése, hogy a magas cukorkoncentráció (illetve az ebből eredő ozmotikus stressz) mennyire befolyásolja a mikrobióta diverzitását. A cukorconcetráció gátló hatása mellett vizsgálatra került a leggyakrabban járványt okozó kórokozó, az Escherichia coli túlélő képessége is. A növekedési ráta meghatározáshoz kétféle E.coli törzset használtam, egy laboratóriumi törzset (MATE, NCAIM) és egy alacsony vízaktivitási közegből izolált törzset. A növekedési görbét ötféle táplevesben vizsgáltam. Az aszalt sárgabarck, aszalt szilva és mazsola minták cukorconcetrációjáhóz hasonló cukorkoncentrációt állítottam be a táplevesekben, illetve egy kifejezetten E.coli-ra tervezett, úgynevezett LB táplevest és egy a mintáknál kisebb koncentrációjó "low sugar" táplevest használtam a növekedési ráta meghatárázásához. A 170 órás mérés a Bioscreen eszköz segístégével történt, a statisztikai kiértékelés a JMP szoftverrel készült. Az eredmények alátámasztják azt a hipotézist, hogy még a legmagasabb cukorkoncentráció mellett is detektálható volt az E.coli a táplevesekben. Vagyis amennyiben kórokozó kerül az aszalványra, még a magas cukorkoncentráció mellett is túlélnek a legmeghatározóbb kórokozók például az E.coli, illetve a spórás baktériumok.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57167">
    <w:multiLevelType w:val="hybridMultilevel"/>
    <w:lvl w:ilvl="0" w:tplc="10155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57167">
    <w:abstractNumId w:val="680571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153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