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dorinemeth0207@gmail.com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Mohay Ágoston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Konzuli védelemhez való jog a Nemzetközi Bíróság gyakorlatában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konzuli védelem, automatikus értesítési kötelezettség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 konzuli védelemhez való jog a Nemzetközi Bíróság joggyakorlatában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 több évtizede problémát okoz az 1963-as konzuli kapcsolatokról szóló bécsi egyezmény egységes értelmezése. Ezzel összefüggésben nem érvényesül megfelelő mértékben a konzuli védelem intézményrendszere, amit számos olyan gyakorlati példa is alátámaszt, ahol a megfelelő tájékoztatás elmarad, meghiúsítva a konzuli védelem megvalósulását.</w:t>
      </w:r>
      <w:r>
        <w:rPr>
          <w:color w:val="000000"/>
          <w:sz w:val="24"/>
          <w:szCs w:val="24"/>
        </w:rPr>
        <w:br/>
        <w:t xml:space="preserve">Az egyezmény 36. cikke biztosítja a konzuli tisztviselőknek azon jogát, hogy felkeressék és kapcsolatba léphessenek a küldő állam honosaival, emellett a jelenlegi szabályozás alapján a 36. cikk (1) bekezdés b) pontja kimondja, hogy, amennyiben az érdekelt személy ezt kéri, a fogadó állam illetékes hatóságai kötelesek késedelem nélkül értesíteni a küldő állam konzuli képviseletét, ha annak konzuli kerületében a küldő állam honosságával rendelkező valamely személyt letartóztattak, bebörtönöztek, előzetes letartóztatásba helyeztek vagy bármely más módon feltartóztattak.</w:t>
      </w:r>
      <w:r>
        <w:rPr>
          <w:color w:val="000000"/>
          <w:sz w:val="24"/>
          <w:szCs w:val="24"/>
        </w:rPr>
        <w:br/>
        <w:t xml:space="preserve">A Nemzetközi Bíróság gyakorlatában számos olyan példát találunk, ahol a fogadó állam elmulasztotta teljesíteni a bécsi egyezmény 36. cikke szerinti kötelezettségeit. Kiemelném a LaGrand, Avena és a Jadhav ügyet, melyek számos ponton mutatnak hasonlóságokat és különbségeket.</w:t>
      </w:r>
      <w:r>
        <w:rPr>
          <w:color w:val="000000"/>
          <w:sz w:val="24"/>
          <w:szCs w:val="24"/>
        </w:rPr>
        <w:br/>
        <w:t xml:space="preserve">Az egyezmény kodifikációja során a részes államok elutasították az automatikus értesítési kötelezettség gondolatát. Azonban a joggyakorlatot megvizsgálva az automatikus értesítési kötelezettség bevezetése elengedhetetlen a jövőbeni igazságos tárgyalások lefolytatása érdekében.</w:t>
      </w:r>
      <w:r>
        <w:rPr>
          <w:color w:val="000000"/>
          <w:sz w:val="24"/>
          <w:szCs w:val="24"/>
        </w:rPr>
        <w:br/>
        <w:t xml:space="preserve">Az egyezmény 36. cikkének módosítása esetlegesen pozitív változást hozhat a konzuli védelem érvényesülésében. Hogyha a fogadó állam hatóságai kötelesek lennének haladéktalanul értesíteni a külföldi állampolgár államának legközelebbi konzulátusát minden olyan esetben, amikor az adott személyt letartóztatják vagy fogva tartják, függetlenül attól, hogy az érintett személy kéri-e az értesítést vagy sem. Az értesítésnek tartalmaznia kellene a fogva tartás okát és körülményeit.</w:t>
      </w:r>
      <w:r>
        <w:rPr>
          <w:color w:val="000000"/>
          <w:sz w:val="24"/>
          <w:szCs w:val="24"/>
        </w:rPr>
        <w:br/>
        <w:t xml:space="preserve">Mindazonáltal, ha életbe lépne az automatikus értesítési kötelezettség biztosítaná, hogy a külföldi állampolgárok megfelelő konzuli segítséget kapjanak. és a nemzetközi kapcsolatokat is erősítené a bevezetése, mivel ezáltal hozzájárulna a nemzetközi kapcsolatok és a kölcsönös bizalom erősítéséhez az államok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9851">
    <w:multiLevelType w:val="hybridMultilevel"/>
    <w:lvl w:ilvl="0" w:tplc="42664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9851">
    <w:abstractNumId w:val="305498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023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