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SEBŐK AIDA KINGA</w:t>
            </w:r>
          </w:p>
          <w:p w:rsidR="00C275A3" w:rsidRDefault="00CA6B74" w:rsidP="00C275A3">
            <w:pPr>
              <w:pStyle w:val="Hallgatokepzes"/>
            </w:pPr>
            <w:r w:rsidRPr="001067CD">
              <w:rPr>
                <w:i/>
              </w:rPr>
              <w:t>saidakinga@gmail.com</w:t>
            </w:r>
            <w:r w:rsidRPr="001067CD">
              <w:rPr>
                <w:i/>
              </w:rPr>
              <w:br/>
            </w:r>
            <w:r w:rsidR="00A96AEC">
              <w:t>Jogász nappali</w:t>
            </w:r>
            <w:r w:rsidR="00A96AEC">
              <w:br/>
            </w:r>
            <w:r w:rsidR="00E77B23">
              <w:t>Osztatlan, 7.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Mohay Ágoston</w:t>
            </w:r>
          </w:p>
          <w:p w:rsidR="00DB4822" w:rsidRDefault="00DB4822" w:rsidP="00BA6BAF">
            <w:pPr>
              <w:pStyle w:val="Konzulensektitulus"/>
            </w:pPr>
            <w:r w:rsidRPr="00DB4822">
              <w:t>tanszékvezető 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kémkedés nemzetközi jogi megítélése, különös tekintettel a diplomáciai fedésben végzett kémtevékenységre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kémkedés;diplomáciai fedés;hírszerzés;Irán;Izrael</w:t>
      </w:r>
      <w:r>
        <w:t xml:space="preserve"/>
      </w:r>
    </w:p>
    <w:p>
      <w:pPr>
        <w:widowControl w:val="on"/>
        <w:pBdr/>
        <w:spacing w:before="240" w:after="240" w:line="240" w:lineRule="auto"/>
        <w:ind w:left="0" w:right="0"/>
        <w:jc w:val="left"/>
      </w:pPr>
      <w:r>
        <w:rPr>
          <w:color w:val="000000"/>
          <w:sz w:val="24"/>
          <w:szCs w:val="24"/>
        </w:rPr>
        <w:t xml:space="preserve">Dolgozatomban a kémtevékenység nemzetközi jogi megítélésével, illetőleg a diplomáciai és egyéb külképviseleti tevékenységek fedése alatt végzett hírszerző szolgálatok jogi álláspontjával foglalkozom. A kémkedés megítélése, jogi helyzete különbözően alakul háborús helyzetben, valamint békeidőben. Utóbbi jogi szabályozása olyan csekélyen fellelhető, hogy tulajdonképpen annak létezése is vitatott, igen megosztó álláspontok alakultak ki a szakirodalomban. Dolgozatom célja azon esetek és érvek felsorakoztatása, amelyek során a hírszerzői tevékenység hasznosnak, egyes esetekben bizonyos információk tudomásra jutása által sorsfordítónak bizonyultak, valamint különböző érvek felsorakoztatása annak érdekében, hogy miért is bizonyul szükségesnek az államok számára, ha egy jól kiépített hírszerzői és kémelhárítási szervezetet működtet. Ez alapján ugyanakkor fontosnak tartottam megvizsgálni többek között azt a kérdéskört is, hogy szükség van-e új nemzetközi (vagy akár nemzeti) szabályozásra, és amennyiben igen, milyen formában, milyen tartalommal és milyen módon biztosítható annak betartása a nemzetközi szinten.</w:t>
      </w:r>
    </w:p>
    <w:p>
      <w:pPr>
        <w:widowControl w:val="on"/>
        <w:pBdr/>
        <w:spacing w:before="240" w:after="240" w:line="240" w:lineRule="auto"/>
        <w:ind w:left="0" w:right="0"/>
        <w:jc w:val="left"/>
      </w:pPr>
      <w:r>
        <w:rPr>
          <w:color w:val="000000"/>
          <w:sz w:val="24"/>
          <w:szCs w:val="24"/>
        </w:rPr>
        <w:t xml:space="preserve">A hagyományos kémkedés jogi megítélésén túl, a kémtevékenység egy sokkal szűkebb, de annál vehemensebb jelentőségű aspektusával foglalkozom: a diplomáciai fedésben végzett kémkedéssel. A diplomatákat és a külképviseleti tevékenységet végző apparátust a köztudatban alapvetően misztérium övezi, azonban a nagykövetek már az ókortól kezdve hírszerzői tevékenységet végeztek, az általuk megszerzett információk pedig a küldő állam számára a helyzeti előny biztosításának lehetőségét teremtették meg. A külképviseleti tevékenység és a hírszerzői tevékenység („kémkedés”) szétválásával, valamint a diplomáciai immunitások megjelenésével és mai formájává való válásával azonban új problémák is megjelentek. Nevezhetjük-e egyáltalán kémnek a diplomatát? Hogyan szabályozza a nemzetközi jog azokat az eseteket, amelyekben a diplomaták immunitásaikkal visszaélve adják a fejüket hírszerzői tevékenységre?</w:t>
      </w:r>
    </w:p>
    <w:p>
      <w:pPr>
        <w:widowControl w:val="on"/>
        <w:pBdr/>
        <w:spacing w:before="240" w:after="240" w:line="240" w:lineRule="auto"/>
        <w:ind w:left="0" w:right="0"/>
        <w:jc w:val="left"/>
      </w:pPr>
      <w:r>
        <w:rPr>
          <w:color w:val="000000"/>
          <w:sz w:val="24"/>
          <w:szCs w:val="24"/>
        </w:rPr>
        <w:t xml:space="preserve">Dolgozatomban két közel-keleti ország, Irán és Izrael hírszerző szolgálatainak bemutatásával és ezen hírszerző ügynökségek modus operandijával szemléltetem a hírszerzői tevékenység hangsúlyát és befolyását a nemzetközi közösség életében, valamint Assadollah Assadi volt iráni diplomata ügyét és az 1979-es Teheráni túszügyet elemezve illusztrálom a diplomáciai fedésből eredő problémákat, illetve de lege ferenda javaslatokban foglalmazom meg a lehetséges megoldási javaslatokat.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45265">
    <w:multiLevelType w:val="hybridMultilevel"/>
    <w:lvl w:ilvl="0" w:tplc="19443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45265">
    <w:abstractNumId w:val="848452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677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