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VIRÁG</w:t>
            </w:r>
          </w:p>
          <w:p w:rsidR="00C275A3" w:rsidRDefault="00CA6B74" w:rsidP="00C275A3">
            <w:pPr>
              <w:pStyle w:val="Hallgatokepzes"/>
            </w:pPr>
            <w:r w:rsidRPr="001067CD">
              <w:rPr>
                <w:i/>
              </w:rPr>
              <w:t>viragkovacs03@gmail.com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Csoknya Tünde Éva</w:t>
            </w:r>
          </w:p>
          <w:p w:rsidR="00DB4822" w:rsidRDefault="00DB4822" w:rsidP="00BA6BAF">
            <w:pPr>
              <w:pStyle w:val="Konzulensektitulus"/>
            </w:pPr>
            <w:r w:rsidRPr="00DB4822">
              <w:t>adjunktus, dékánhelyettes, PTE ÁJK</w:t>
            </w:r>
          </w:p>
        </w:tc>
      </w:tr>
      <w:tr w:rsidR="00DB4822" w:rsidTr="00DB4822">
        <w:tc>
          <w:tcPr>
            <w:tcW w:w="9854" w:type="dxa"/>
          </w:tcPr>
          <w:p w:rsidR="00DB4822" w:rsidRPr="00DB4822" w:rsidRDefault="00DB4822" w:rsidP="00BA6BAF">
            <w:pPr>
              <w:pStyle w:val="Konzulenseknev"/>
            </w:pPr>
            <w:r w:rsidRPr="00DB4822">
              <w:t>dr. Jusztinger János</w:t>
            </w:r>
          </w:p>
          <w:p w:rsidR="00DB4822" w:rsidRDefault="00DB4822" w:rsidP="00BA6BAF">
            <w:pPr>
              <w:pStyle w:val="Konzulensektitulus"/>
            </w:pPr>
            <w:r w:rsidRPr="00DB4822">
              <w:t>tanszékvezető, 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Cicero az Európai Unió Bírósága előtt. A római jogtudomány öröksége az uniós polgárság joggyakorlatában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római polgárjog; állampolgárság; uniós polgárság; Cicero</w:t>
      </w:r>
      <w:r>
        <w:t xml:space="preserve"/>
      </w:r>
    </w:p>
    <w:p>
      <w:pPr>
        <w:widowControl w:val="on"/>
        <w:pBdr/>
        <w:spacing w:before="240" w:after="240" w:line="240" w:lineRule="auto"/>
        <w:ind w:left="0" w:right="0"/>
        <w:jc w:val="left"/>
      </w:pPr>
      <w:r>
        <w:rPr>
          <w:color w:val="000000"/>
          <w:sz w:val="24"/>
          <w:szCs w:val="24"/>
        </w:rPr>
        <w:t xml:space="preserve">Kr. e. 56-ban Lucius Cornelius Balbust római polgárjogának megkérdőjelezése miatt bíróság elé állították. A per Balbus egyik védője, Marcus Tullius Cicero miatt vált ismertté, s maradhatott fent az utókor számára. Kétezer évvel később Janko Rottmann hasonló helyzetbe kerülve, a német állampolgárság megtévesztéssel történő, csalárd megszerzése miatt került igazságszolgáltatás elé, s az ügy egészen az Európai Unió Bíróságának előzetes döntéshozatali eljárásáig jutott.</w:t>
      </w:r>
      <w:r>
        <w:rPr>
          <w:color w:val="000000"/>
          <w:sz w:val="24"/>
          <w:szCs w:val="24"/>
        </w:rPr>
        <w:br/>
        <w:t xml:space="preserve">A két per az évezredes időbeli távolság ellenére számos ponton kapcsolódást mutat egymással, hiszen mind a római, mind pedig a modern jog tekintetében hasonló kérdéseket vet fel, ahol előtérbe kerül a polgári státusz, az azzal járó jogosítványok, s ezek védelme, valamint a polgárjog (állampolgárság) visszavonásának lehetséges okai, s összességében elvesztésének lehetőségei is.</w:t>
      </w:r>
      <w:r>
        <w:rPr>
          <w:color w:val="000000"/>
          <w:sz w:val="24"/>
          <w:szCs w:val="24"/>
        </w:rPr>
        <w:br/>
        <w:t xml:space="preserve">A kutatásban a római polgárjog általános bemutatását, valamint a civitas Romana és mai modern állampolgárság jogintézményének összevetését a két ügy elemzése követi. Az összehasonlítás három szempont alapján történik: a kettős (állam)polgárság léte, az uniós/római, valamint a tagállami állampolgárságok viszonya, továbbá a külföldinek számító „státuszok” vizsgálata az antik jogban.</w:t>
      </w:r>
      <w:r>
        <w:rPr>
          <w:color w:val="000000"/>
          <w:sz w:val="24"/>
          <w:szCs w:val="24"/>
        </w:rPr>
        <w:br/>
        <w:t xml:space="preserve">Az elemzés kitér Cicero másik, polgárjoggal kapcsolatos perére is, ahol a szónok Archias költő védelmében szólalt fel, s a vád alapját képező törvény mellett a hangsúlyos politikai szál is megjelenik, akárcsak Balbus esetében. A két védőbeszéd alkalmasnak bizonyul arra, hogy betekintést nyújtson a köztársaság kori polgárjogról, annak az ebben az időszakban bekövetkezett változásairól, különösen az adományozás kérdéséről, s arról, hogy összességében mit is jelenthetett római polgárnak lenni. Az ügyeken keresztül azt szeretném bemutatni, hogy a római jog nemcsak a magánjog, hanem a közjog területén is előtérbe kerülhet. Mind az állampolgárság, így a kettős állampolgárság tekintetében, s akár nemzetközi egyezmények bizonyos rendelkezéseiben is találkozhatunk az antik jogban már ismert és alkalmazott szabályokkal.</w:t>
      </w:r>
      <w:r>
        <w:rPr>
          <w:color w:val="000000"/>
          <w:sz w:val="24"/>
          <w:szCs w:val="24"/>
        </w:rPr>
        <w:br/>
        <w:t xml:space="preserve">Az elemzés során átfogó képet kaphatunk arról, hogy a kulturális, társadalmi különbségek és az évezredes távolság ellenére felmerülhetnek olyan (állam)polgárságot érintő jogi problémák, amelyek hasonlóságuk folytán mégis alkalmasak lehetnek arra, hogy összehasonlítás tárgyát képezzék, valamint napjaink jogalkotói és jogalkalmazói számára is támpontként szolgáljanak.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7741">
    <w:multiLevelType w:val="hybridMultilevel"/>
    <w:lvl w:ilvl="0" w:tplc="29313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7741">
    <w:abstractNumId w:val="99737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870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