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MOLNAR </w:t>
            </w:r>
          </w:p>
          <w:p w:rsidR="00C275A3" w:rsidRDefault="00CA6B74" w:rsidP="00C275A3">
            <w:pPr>
              <w:pStyle w:val="Hallgatokepzes"/>
            </w:pPr>
            <w:r w:rsidRPr="001067CD">
              <w:rPr>
                <w:i/>
              </w:rPr>
              <w:t>molnardavid836@gmail.com</w:t>
            </w:r>
            <w:r w:rsidRPr="001067CD">
              <w:rPr>
                <w:i/>
              </w:rPr>
              <w:br/>
            </w:r>
            <w:r w:rsidR="00A96AEC">
              <w:t>Lawyer</w:t>
            </w:r>
            <w:r w:rsidR="00A96AEC">
              <w:br/>
            </w:r>
            <w:r w:rsidR="00E77B23">
              <w:t>Unified, 5.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Zsolt Bujtar</w:t>
            </w:r>
          </w:p>
          <w:p w:rsidR="00DB4822" w:rsidRDefault="00DB4822" w:rsidP="00BA6BAF">
            <w:pPr>
              <w:pStyle w:val="Konzulensektitulus"/>
            </w:pPr>
            <w:r w:rsidRPr="00DB4822">
              <w:t>adjunct,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Money 2.0: a combination of crypto and traditional money, or the digital recalibration of the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2008, CBDC, Crisis</w:t>
      </w:r>
      <w:r>
        <w:t xml:space="preserve"/>
      </w:r>
    </w:p>
    <w:p>
      <w:pPr>
        <w:widowControl w:val="on"/>
        <w:pBdr/>
        <w:spacing w:before="240" w:after="240" w:line="240" w:lineRule="auto"/>
        <w:ind w:left="0" w:right="0"/>
        <w:jc w:val="left"/>
      </w:pPr>
      <w:r>
        <w:rPr>
          <w:color w:val="000000"/>
          <w:sz w:val="24"/>
          <w:szCs w:val="24"/>
        </w:rPr>
        <w:t xml:space="preserve">The paper examines the economic significance and integration possibilities of cryptocurrencies and central bank digital currencies (CBDCs) within the traditional financial system, with a particular focus on the lessons learned from the 2008 financial crisis. It analyzes the advantages and limitations of decentralized technologies while highlighting the role of CBDCs in ensuring the stability of monetary policy. Drawing on international examples, the research emphasizes the potential economic and regulatory impacts of introducing a digital euro.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13335">
    <w:multiLevelType w:val="hybridMultilevel"/>
    <w:lvl w:ilvl="0" w:tplc="77305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13335">
    <w:abstractNumId w:val="552133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573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