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laszlodetti@gmail.com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Berke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nemek közötti egyenlőség megvalósítása a munkajogban, különös tekintettel a bérszakadék problémájára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egyenjogúság; bérrés; bértranszparencia; irányelv; átláthatóság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munkajogban érvényesülő nemek közötti egyenjogúság kérdéskörével, ezen belül is kiemelten a bérszakadékkal foglalkozik, bemutatva annak történeti hátterét, valamint az elmúlt évtizedek jogi szabályozását. Emellett ismerteti az aktuális problémákat, amelyekre a jogalkotás törekszik a lehető legalkalmasabb módon reagálni, ezzel elősegítve a férfiak és nők közötti egyenlőség megvalósulását, amely végül a bérrés bezárulásához, ezáltal pedig igazságosabb munkaerőpiachoz vezethet.</w:t>
      </w:r>
      <w:r>
        <w:rPr>
          <w:color w:val="000000"/>
          <w:sz w:val="24"/>
          <w:szCs w:val="24"/>
        </w:rPr>
        <w:br/>
        <w:t xml:space="preserve">Összefoglalásként elmondható, hogy az 1957-es Római Szerződés hatályba lépésétől kezdődően az Európai Unió egyik legfontosabb célkitűzése volt a nemek közötti egyenjogúság biztosítása a munkajog területén, azonban a mai napig nem sikerült megvalósítani ezt az alapvető követelményt, sőt az elmúlt néhány évben uniós szinten a két nem fizetése közötti különbség a 13%-os arányt is elérte a férfiak javára, vagyis kiemelkedő jelentőségű, nyomós problémáról van szó, amelynek mielőbbi megoldása szükséges. Ennek megfelelően került sor három olyan irányelv megalkotására, amelyek a bérek átláthatóságával, és az egyenlő vagy egyenlő értékű munkáért járó egyenlő díjazás elvével, a munka és magánélet egyensúlyával, valamint a nyilvánosan működő részvénytársaságok igazgatói körében a nemek közötti egyensúly javításáról szólnak.</w:t>
      </w:r>
      <w:r>
        <w:rPr>
          <w:color w:val="000000"/>
          <w:sz w:val="24"/>
          <w:szCs w:val="24"/>
        </w:rPr>
        <w:br/>
        <w:t xml:space="preserve">A dolgozat központi elemét adja az említett irányelvek elemzése, a szabályozás nóvumainak bemutatása. A rendelkezések ismertetése után pedig a De lege ferenda fejezetben fejtettem ki a kutatás eredményeit, vontam le a következtetéseket. Megállapítottam, hogy a bértranszparencia biztosítása érdekében tett lépések, az annuális bérjelentések megfelelő kezdetet jelenthetnek a nemi egyenlőség eléréséhez, azonban véleményem szerint a legfrissebb joganyag továbbra is olyan hiányosságokban szenved, amely feltétlenül kiegészítésre szorul.</w:t>
      </w:r>
      <w:r>
        <w:rPr>
          <w:color w:val="000000"/>
          <w:sz w:val="24"/>
          <w:szCs w:val="24"/>
        </w:rPr>
        <w:br/>
        <w:t xml:space="preserve">Megfogalmazott javaslataim közé tartozik a nemek közötti egyenlőség külön fejezetben történő elhelyezése a Munka Törvénykönyvében, az álláshirdetésekben a bérsáv alsó és felső határa közti maximális különbség meghatározása, a munkavállalói képviselők bevonása a felvételi eljárásba, valamint a kötelező apasági szabadság időtartamának kiterjesztése, mely ajánlások megvalósítása nagyban hozzájárulhat a nemek közötti egyenlőség munkajogi megerősítéséhez, végeredményben a társadalom minden tagja profitálhat belőlük.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27185">
    <w:multiLevelType w:val="hybridMultilevel"/>
    <w:lvl w:ilvl="0" w:tplc="70235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27185">
    <w:abstractNumId w:val="731271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106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