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VIRÁG</w:t>
            </w:r>
          </w:p>
          <w:p w:rsidR="00C275A3" w:rsidRDefault="00CA6B74" w:rsidP="00C275A3">
            <w:pPr>
              <w:pStyle w:val="Hallgatokepzes"/>
            </w:pPr>
            <w:r w:rsidRPr="001067CD">
              <w:rPr>
                <w:i/>
              </w:rPr>
              <w:t>viragkovacs03@gmail.com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Temesi Nándorné dr. Stankovics Petra</w:t>
            </w:r>
          </w:p>
          <w:p w:rsidR="00DB4822" w:rsidRDefault="00DB4822" w:rsidP="00BA6BAF">
            <w:pPr>
              <w:pStyle w:val="Konzulensektitulus"/>
            </w:pPr>
            <w:r w:rsidRPr="00DB4822">
              <w:t>egyetemi 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Közigazgatás a kóbor állatok szolgálatában (Az ebrendészeti tevékenység)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állatvédelem; kóbor állat; ebrendészeti tevékenység; önkormányzat</w:t>
      </w:r>
      <w:r>
        <w:t xml:space="preserve"/>
      </w:r>
    </w:p>
    <w:p>
      <w:pPr>
        <w:widowControl w:val="on"/>
        <w:pBdr/>
        <w:spacing w:before="240" w:after="240" w:line="240" w:lineRule="auto"/>
        <w:ind w:left="0" w:right="0"/>
        <w:jc w:val="left"/>
      </w:pPr>
      <w:r>
        <w:rPr>
          <w:color w:val="000000"/>
          <w:sz w:val="24"/>
          <w:szCs w:val="24"/>
        </w:rPr>
        <w:t xml:space="preserve">Az állatvédelmi jog egy rendkívül komplex és szerteágazó jogterület. Jelen kutatásomban a kóbor állatok közigazgatás által megvalósított védelmével foglalkoztam, s céljaim között szerepelt, hogy feltárjam milyen módon valósul meg az ebrendészeti tevékenység, hogyan épül fel egy mindent átfogó védelmi háló az állatok befogása, tartása, gondozása, majd későbbi örökbeadása tekintetében, vagyis hogyan szolgálja és szolgálhatja a közigazgatás a kóbor állatokat.</w:t>
      </w:r>
      <w:r>
        <w:rPr>
          <w:color w:val="000000"/>
          <w:sz w:val="24"/>
          <w:szCs w:val="24"/>
        </w:rPr>
        <w:br/>
        <w:t xml:space="preserve">A dolgozatban először körüljártam a hazai kóborállat-helyzet valamennyi kérdését, így a jelenséggel kapcsolatban felmerülő problémákat, nehézségeket is. A témakör hangsúlyos állat-illetve humánegészségügyi vonatkozása mellett nem szabad megfeledkezni az állatvédelmi szempontokról sem: mind a kutya, mind pedig a macska háziasított állatok, így a kóborló életmód nem megfelelő számukra.</w:t>
      </w:r>
      <w:r>
        <w:rPr>
          <w:color w:val="000000"/>
          <w:sz w:val="24"/>
          <w:szCs w:val="24"/>
        </w:rPr>
        <w:br/>
        <w:t xml:space="preserve">Az ebrendészeti tevékenység ellátása így többek között a település belterületén kóbor állatok befogása, a települési (a fővárosban a fővárosi) önkormányzat feladata, a kijelölt állatvédelmi hatósági jogkörben eljáró hatóság pedig a jegyző.</w:t>
      </w:r>
      <w:r>
        <w:rPr>
          <w:color w:val="000000"/>
          <w:sz w:val="24"/>
          <w:szCs w:val="24"/>
        </w:rPr>
        <w:br/>
        <w:t xml:space="preserve">A dolgozatban arra kerestem a választ, hogy e tevékenységet a 25 megyei jogú város milyen módon valósítja meg, ehhez állattartási, közterület-felügyelet, valamint közösségi együttélés szabályai témakörökben alkotott önkormányzati rendeleteket, rendelkezéseket vizsgáltam.</w:t>
      </w:r>
      <w:r>
        <w:rPr>
          <w:color w:val="000000"/>
          <w:sz w:val="24"/>
          <w:szCs w:val="24"/>
        </w:rPr>
        <w:br/>
        <w:t xml:space="preserve">A gyakorlat szélesebb körben történő feltérképezése érdekében felkerestem az egyik megyei jogú város jegyzőjét, és interjút készítettem a kóbor állatokkal kapcsolatos tevékenységről, összehasonlítás gyanánt pedig megkerestem egy állatvédő civil szervezetet, akik bemutatták a közigazgatáson kívül megvalósuló állatvédelmi gyakorlatot. Végül a dolgozatban bemutatásra került, a témával szoros kapcsolatban álló lehetséges megoldási mód, az ivartalanítás kérdésköre, illetve az örökbefogadás.</w:t>
      </w:r>
      <w:r>
        <w:rPr>
          <w:color w:val="000000"/>
          <w:sz w:val="24"/>
          <w:szCs w:val="24"/>
        </w:rPr>
        <w:br/>
        <w:t xml:space="preserve">Javaslataimat a hatályos jogszabályi környezet, valamint a vonatkozó szakirodalom áttekintése és elemzése után tettem meg, melyek a kóbor állatok számarányának felmérésére, s így egy sikeres stratégia kialakítására, a macskák veszettség elleni oltásának és a kutyákéhoz hasonló nyilvántartásának kötelezővé tételére, valamint további állatvédő civil szervezetek bevonásának szükségességére koncentrálnak.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28562">
    <w:multiLevelType w:val="hybridMultilevel"/>
    <w:lvl w:ilvl="0" w:tplc="53009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28562">
    <w:abstractNumId w:val="71328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751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