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LAMPERT VIKTÓRIA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vykee.lampert@gmail.com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Vörös Eszter PhD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PTE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 Falus Orsolya</w:t>
            </w:r>
          </w:p>
          <w:p w:rsidR="00DB4822" w:rsidRDefault="00DB4822" w:rsidP="00BA6BAF">
            <w:pPr>
              <w:pStyle w:val="Konzulensektitulus"/>
            </w:pPr>
            <w:r w:rsidRPr="00DB4822">
              <w:t>címzetes egyetemi docens,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Nők a vallás és az állam határvonalán. Az iszlám, mint jogi és vallási rendszer, valamint kapcsolata az emberi jogokkal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emberi jogok; nők; iszlám; nemzetközi egyezmények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Nők a vallás és az állam határvonalán</w:t>
      </w:r>
      <w:r>
        <w:rPr>
          <w:color w:val="000000"/>
          <w:sz w:val="24"/>
          <w:szCs w:val="24"/>
        </w:rPr>
        <w:br/>
        <w:t xml:space="preserve">Az iszlám, mint jogi és vallási rendszer, valamint kapcsolata a modern emberi jogokkal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Pályamunkám a „Nők a vallás és az állam határvonalán; Az iszlám, mint jogi és vallási rendszer, valamint kapcsolata a modern emberi jogokkal” címet viseli, amelyben különböző muszlimjogi kultúrák nőkre vonatkozó emberi jogi szabályozását vizsgálom. Célom feltárni, hogy a nemekre vonatkozó szabályozásokban rejlő különbségek milyen társadalmi, vallási és jogi indokokra vezethetők vissza és hogyan hatnak a mindennapi életre, valamint a nemek közötti egyenlőség kérdésére az egyes államokban.</w:t>
      </w:r>
      <w:r>
        <w:rPr>
          <w:color w:val="000000"/>
          <w:sz w:val="24"/>
          <w:szCs w:val="24"/>
        </w:rPr>
        <w:br/>
        <w:t xml:space="preserve">Négy állam, nevesül Afganisztán, Irán, Törökország, valamint Szaúd-Arábia jogi berendezkedését elemezem és a dolgozat célkitűzéseinek megvalósítása következtében a kutatási feladatra fókuszálva hipotéziseket fogalmazok meg..</w:t>
      </w:r>
      <w:r>
        <w:rPr>
          <w:color w:val="000000"/>
          <w:sz w:val="24"/>
          <w:szCs w:val="24"/>
        </w:rPr>
        <w:br/>
        <w:t xml:space="preserve">Elsőként keresem a választ, hogy az egyenjogúság szükségszerűen maga után vonja-e, a nemi és a társadalmi sajátosságok eltűnését. E kérdésben megállapítom, hogy a nemek egyedisége nem csupán az általuk gyakorolt jogokban rejlik, hanem egyéb politikai, társadalmi és kulturális normáktól is jelentősen függ. Az emberi jogok kiterjesztése nem feltétlenül jelenti a nemi sajátosságoknak az eltűnését, csupán több lehetőséget nyit meg a nők számára. A női identitás egyedisége a modern és tradicionális értékek összhangjában rejlik.</w:t>
      </w:r>
      <w:r>
        <w:rPr>
          <w:color w:val="000000"/>
          <w:sz w:val="24"/>
          <w:szCs w:val="24"/>
        </w:rPr>
        <w:br/>
        <w:t xml:space="preserve">Második tézisem, hogy az azonos jogi alapokat biztosító vallási alapművek interpretációja jelentős eltérés nélkül ismerhető-e fel ezekben az államokban, vagy különböző szempontok szerint divergenciát mutat. A jogi berendezkedések vizsgálatát követően megállapítható, hogy annak ellenére, hogy a Korán, illetve a Szunna autoritását egyik irányzat sem vitatja, az annak megfelelő szabályrendszer bevezetése nem egységesen valósul meg, így országonként eltérő az emberi jogok érvényesülésének illetőleg korlátozásának mértéke.</w:t>
      </w:r>
      <w:r>
        <w:rPr>
          <w:color w:val="000000"/>
          <w:sz w:val="24"/>
          <w:szCs w:val="24"/>
        </w:rPr>
        <w:br/>
        <w:t xml:space="preserve">Harmadik kutatási kérdésem, hogy milyen módon lehet az európai jogállami normákat összehangolni az iszlám vallási hagyományokkal az emberi jogi alapelvek és a nemek közötti egyenlőség tiszteletben tartásával. A kultúrák közötti kommunikációnak és társadalmi érzékenyítésnek kiemelkedő szerepe van ennek a beteljesülésében. Az európai államok támogathatják az iszlám országok reformfolyamatait a nők jogainak érvényre juttatásához, az oktatási- és munkaerőpiaci részvételük növeléséhez, valamint az egészségügyi ellátáshoz való hozzáférésük biztosításához.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593532">
    <w:multiLevelType w:val="hybridMultilevel"/>
    <w:lvl w:ilvl="0" w:tplc="456816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593532">
    <w:abstractNumId w:val="225935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69122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