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CSÖNDÖR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cskamilla07@gmail.com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Hohmann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Legal design az adatvédelmi tájékoztatók területén mint egyik lehetséges megoldás a joghoz való hozzáférés problémakörében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legal design; adatvédelem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elsősorban azt vizsgálom, hogy az adatvédelmi tájékoztatók jelenlegi formája gyakran túlbonyolított és nehezen érthető az átlagos felhasználók számára, amely akadályozza a joghoz való hozzáférést. Ennek megoldására tettem javaslatokat a legal design eszközeivel élve – ideértve például ikonok, folyamatábrák, strukturált szöveg és a közérthető nyelvezet alkalmazását. A kutatásom emellett felvázolja a törvényi követelmények és a gyakorlatban megjelenő problémák közötti összhang fontosságát.</w:t>
      </w:r>
      <w:r>
        <w:rPr>
          <w:color w:val="000000"/>
          <w:sz w:val="24"/>
          <w:szCs w:val="24"/>
        </w:rPr>
        <w:br/>
        <w:t xml:space="preserve">A legal design témaköre nem kifejezetten régre nyúlik vissza, és ezen új irányzat olyannyira hatással volt rám, hogy mélyebben kezdtem kutatni a témában és leginkább a jog elérhetősége szempontjából vizsgáltam azt. Dolgozatomban annak bizonyítására teszek kísérletet, hogy a legal design eszközei jelentősen hozzájárulhatnak az adatvédelmi tájékoztatók hatékonyságának növeléséhez, ezáltal biztosítva a felhasználók jogainak és kötelezettségeinek jobb megértését. Dolgozatom az adatvédelmi irányelvek reformjának szükségességét és a jog emberközpontúbb megközelítését szorgalmazza. A legal design eszköztárából merítve az adatvédelmi tájékoztatókban használható ikonok, színkódok és interaktív elemek nemcsak esztétikai szempontból fontosak, hanem a jogi szövegek befogadhatóságát is javítják. Az átláthatóság és közérthetőség ezen eszközei összhangban vannak a GDPR alapelveivel, különösen az érintettek jogainak gyakorlásához szükséges információk egyértelmű és könnyen hozzáférhető biztosításának követelményével. Úgy vélem, hogy a legal design nem csupán az adatvédelmi tájékoztatók formálásában, hanem a jogi kultúra általános modernizációjában is meghatározó szerepet tölthet be. Ezért fontos lenne a jogi oktatásban is nagyobb hangsúlyt fektetni a dizájnalapú gondolkodásra, amely a jogértelmezési készségeket új szemléleti keretbe helyezheti.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14669">
    <w:multiLevelType w:val="hybridMultilevel"/>
    <w:lvl w:ilvl="0" w:tplc="95039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14669">
    <w:abstractNumId w:val="67314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960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