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molnardavid836@gmail.com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Hohmann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Bujtár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jelent és a jövőt összekötő lánc: A blokklánc-technológia és az adatvédelem összehangolása a GDPR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Blokklánc, GDPR, Technológia, Nemzeti szuverenitás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technológiák gyors fejlődése alapjaiban átalakította az adatkezelés módjait, és áttörést</w:t>
      </w:r>
      <w:r>
        <w:rPr>
          <w:color w:val="000000"/>
          <w:sz w:val="24"/>
          <w:szCs w:val="24"/>
        </w:rPr>
        <w:br/>
        <w:t xml:space="preserve">hozott a globális gazdaságban. Az adatokat gyakran az „új olajnak” nevezik, miközben a</w:t>
      </w:r>
      <w:r>
        <w:rPr>
          <w:color w:val="000000"/>
          <w:sz w:val="24"/>
          <w:szCs w:val="24"/>
        </w:rPr>
        <w:br/>
        <w:t xml:space="preserve">védelmüket biztosító szabályozási keretek, mint az EU által bevezetett általános adatvédelmi</w:t>
      </w:r>
      <w:r>
        <w:rPr>
          <w:color w:val="000000"/>
          <w:sz w:val="24"/>
          <w:szCs w:val="24"/>
        </w:rPr>
        <w:br/>
        <w:t xml:space="preserve">rendelet (GDPR), egyre inkább hangsúlyossá válnak. Ezzel párhuzamosan a blokklánc</w:t>
      </w:r>
      <w:r>
        <w:rPr>
          <w:color w:val="000000"/>
          <w:sz w:val="24"/>
          <w:szCs w:val="24"/>
        </w:rPr>
        <w:br/>
        <w:t xml:space="preserve">technológia decentralizált és átlátható adatkezelési megoldásokat kínál, ám alapvető</w:t>
      </w:r>
      <w:r>
        <w:rPr>
          <w:color w:val="000000"/>
          <w:sz w:val="24"/>
          <w:szCs w:val="24"/>
        </w:rPr>
        <w:br/>
        <w:t xml:space="preserve">konfliktusban áll a GDPR követelményeivel, különösen az „elfeledtetéshez való jog” kapcsán.</w:t>
      </w:r>
      <w:r>
        <w:rPr>
          <w:color w:val="000000"/>
          <w:sz w:val="24"/>
          <w:szCs w:val="24"/>
        </w:rPr>
        <w:br/>
        <w:t xml:space="preserve">A kutatás kiemeli, hogy a blokklánc által nyújtotta előnyök – mint az átláthatóság és az</w:t>
      </w:r>
      <w:r>
        <w:rPr>
          <w:color w:val="000000"/>
          <w:sz w:val="24"/>
          <w:szCs w:val="24"/>
        </w:rPr>
        <w:br/>
        <w:t xml:space="preserve">adatbiztonság – miként egyeztethetők össze a GDPR szigorú adatvédelmi előírásaival. A dolgozat</w:t>
      </w:r>
      <w:r>
        <w:rPr>
          <w:color w:val="000000"/>
          <w:sz w:val="24"/>
          <w:szCs w:val="24"/>
        </w:rPr>
        <w:br/>
        <w:t xml:space="preserve">különösen a de lege ferenda javaslatokra összpontosít, amelyek új jogi és technológiai</w:t>
      </w:r>
      <w:r>
        <w:rPr>
          <w:color w:val="000000"/>
          <w:sz w:val="24"/>
          <w:szCs w:val="24"/>
        </w:rPr>
        <w:br/>
        <w:t xml:space="preserve">megoldásokat vázolnak fel, interdiszciplináris szemléletmóddal.</w:t>
      </w:r>
      <w:r>
        <w:rPr>
          <w:color w:val="000000"/>
          <w:sz w:val="24"/>
          <w:szCs w:val="24"/>
        </w:rPr>
        <w:br/>
        <w:t xml:space="preserve">A de lege ferenda javaslatok közül kiemelkedő az álnevesítés és titkosítás kombinációja, amely</w:t>
      </w:r>
      <w:r>
        <w:rPr>
          <w:color w:val="000000"/>
          <w:sz w:val="24"/>
          <w:szCs w:val="24"/>
        </w:rPr>
        <w:br/>
        <w:t xml:space="preserve">lehetővé teszi a személyes adatok rejtett, de ellenőrizhető formában történő tárolását. A</w:t>
      </w:r>
      <w:r>
        <w:rPr>
          <w:color w:val="000000"/>
          <w:sz w:val="24"/>
          <w:szCs w:val="24"/>
        </w:rPr>
        <w:br/>
        <w:t xml:space="preserve">titkosítási kulcsok megfelelő kezelése biztosítja, hogy az érintettek gyakorolhassák</w:t>
      </w:r>
      <w:r>
        <w:rPr>
          <w:color w:val="000000"/>
          <w:sz w:val="24"/>
          <w:szCs w:val="24"/>
        </w:rPr>
        <w:br/>
        <w:t xml:space="preserve">„elfeledtetéshez való jogukat”, miközben a blokklánc által nyújtott integritás megmarad. A „zéró</w:t>
      </w:r>
      <w:r>
        <w:rPr>
          <w:color w:val="000000"/>
          <w:sz w:val="24"/>
          <w:szCs w:val="24"/>
        </w:rPr>
        <w:br/>
        <w:t xml:space="preserve">tudás bizonyítékok” (zero-knowledge proofs) technológiája szintén kulcsszerepet kapott, mivel</w:t>
      </w:r>
      <w:r>
        <w:rPr>
          <w:color w:val="000000"/>
          <w:sz w:val="24"/>
          <w:szCs w:val="24"/>
        </w:rPr>
        <w:br/>
        <w:t xml:space="preserve">lehetővé teszi az adatok hitelességének igazolását azok feltárása nélkül.</w:t>
      </w:r>
      <w:r>
        <w:rPr>
          <w:color w:val="000000"/>
          <w:sz w:val="24"/>
          <w:szCs w:val="24"/>
        </w:rPr>
        <w:br/>
        <w:t xml:space="preserve">A dolgozat további javaslata a jogi keretek átalakítása, amely a decentralizált adatkezeléshez</w:t>
      </w:r>
      <w:r>
        <w:rPr>
          <w:color w:val="000000"/>
          <w:sz w:val="24"/>
          <w:szCs w:val="24"/>
        </w:rPr>
        <w:br/>
        <w:t xml:space="preserve">igazítja a felelősségi szerepeket. Sürgető szükség mutatkozik olyan új kategóriák bevezetésére,</w:t>
      </w:r>
      <w:r>
        <w:rPr>
          <w:color w:val="000000"/>
          <w:sz w:val="24"/>
          <w:szCs w:val="24"/>
        </w:rPr>
        <w:br/>
        <w:t xml:space="preserve">mint a „hálózati résztvevők” vagy a „decentralizált adatkezelők”. Ezek az új kategóriák</w:t>
      </w:r>
      <w:r>
        <w:rPr>
          <w:color w:val="000000"/>
          <w:sz w:val="24"/>
          <w:szCs w:val="24"/>
        </w:rPr>
        <w:br/>
        <w:t xml:space="preserve">biztosítanák a GDPR előírásainak hatékony alkalmazhatóságát a blokklánc környezetében.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63429">
    <w:multiLevelType w:val="hybridMultilevel"/>
    <w:lvl w:ilvl="0" w:tplc="35419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63429">
    <w:abstractNumId w:val="35163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192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