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tamastothun@outlook.com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Korsósné dr. Delacasse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osztrák ügyvédség modernizációja – magyar párhuzammal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osztrák; ügyvédség; modernizáció; magyar; párhuzam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kutatásomban az osztrák ügyvédség modernizációját tártam fel, párhuzamban a magyar szabályozással, rávilágítva, hogy az osztrák rendszerhez képest mely pontok azonosak, hasonlóak, vagy különbözőek a magyar oldalon, így ez adja az összehasonlító jellegét a pályamunkámnak.</w:t>
      </w:r>
      <w:r>
        <w:rPr>
          <w:color w:val="000000"/>
          <w:sz w:val="24"/>
          <w:szCs w:val="24"/>
        </w:rPr>
        <w:br/>
        <w:t xml:space="preserve">Munkám abszolút aktualitását a magyarországi ügyvédi kamarák 150 éves jubileuma, újdonságát pedig a 19. századi osztrák szabályozás feltárása és a magyar szabályozással történő összehasonlítása adja. Kutatásomhoz eredeti, német nyelvű, általam lefordított jogszabályokat, magyar és német nyelvű tudományos folyóirat cikkeket, monográfiákat és könyvrészleteket használtam fel.</w:t>
      </w:r>
      <w:r>
        <w:rPr>
          <w:color w:val="000000"/>
          <w:sz w:val="24"/>
          <w:szCs w:val="24"/>
        </w:rPr>
        <w:br/>
        <w:t xml:space="preserve">A legfőbb megállapításom, hogy az ügyvédek felszabadítása, modernizációja nem csak a hivatást juttatta méltóságteljesebb pozícióba társadalmi és gazdasági szempontból, de az állampolgárok szabadáságának megóvására is magasabb fokú garanciát nyújtott. Az osztrák és a magyar ügyvédséget összehasonlítva megállapítható, hogy már a kezdetektől fogva szignifikáns különbségek rajzolódtak ki, amelyben gyökeret eresztve mindkét oldal ragaszkodott a saját hagyományaihoz. Az osztrák oldalon a kinevezéses rendszer, zártszám és a tartományi szinten tapasztalható jelentős szabályozási különbségek élték virágkorukat az évszázadok alatt, míg a magyar oldalon a már kezdetektől jelenlévő ügyvédi szabadsághoz, a szakma jogszabályi és szerkezeti egységéhez ragaszkodtunk. Egyrészt ezen különbségekből levezethető a 19. században magyar oldalon tapasztalt osztrák oktrojált ügyvédi rendtartás elfogadhatatlansága és az ügyvédeink vágya a hőn áhított modernizáció és szabadság után.</w:t>
      </w:r>
      <w:r>
        <w:rPr>
          <w:color w:val="000000"/>
          <w:sz w:val="24"/>
          <w:szCs w:val="24"/>
        </w:rPr>
        <w:br/>
        <w:t xml:space="preserve">Másrészt mindkét oldalon gyarapodtak az ügyvédi tevékenységet végzők által elkövetett visszaélések. A polgárok egyre kiszolgáltatottabb helyzetbe kerültek, amelyben kevéssé tudták érdekeiket képviseltetni. Szépen lassan megjelentek a hivatást hivatallá degradáló szabályozások, valamint a forradalmat megelőző izzó éra, amely időszakban az állampolgárok és az ügyvédek széles köre is változást követelt. Gyökeres változás kellett és egy teljesen új megközelítés, amely által autonómiát szerezhettek az ügyvédek. A legfőbb mérföldköveket az ügyvédi kamarák megalapítása, a zártszám és a kinevezéses rendszer eltörlése, a fegyelmi jogkör az ügyvédi kamara hatáskörébe történő utalása és a kamarák választmányainak, közgyűléseinek egyre szélesedő felelőssége és autonómiája jelentette. Védenünk kell tehát ügyvédeink törékeny függetlenségét saját szabadságunk érdekében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942259">
    <w:multiLevelType w:val="hybridMultilevel"/>
    <w:lvl w:ilvl="0" w:tplc="923162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942259">
    <w:abstractNumId w:val="369422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5750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