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HALÁSZ TAMÁS GERGŐ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halasztamasgergo@gmail.com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Tilk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egytemi tanár,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történeti alkotmány és hatása az Alaptörvényre és a modern alkotmányos intézményekre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történeti alkotmány; vívmány; Alkotmánybíróság; R) cikk; Alaptörvény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történeti alkotmány és hatása az Alaptörvényre és a modern alkotmányos intézményekre</w:t>
      </w:r>
      <w:r>
        <w:rPr>
          <w:color w:val="000000"/>
          <w:sz w:val="24"/>
          <w:szCs w:val="24"/>
        </w:rPr>
        <w:br/>
        <w:t xml:space="preserve">A dolgozat a történeti alkotmány vívmányaival és azok alkotmánybírósági gyakorlatban betöltött szerepével és jelentőségével foglalkozik.</w:t>
      </w:r>
      <w:r>
        <w:rPr>
          <w:color w:val="000000"/>
          <w:sz w:val="24"/>
          <w:szCs w:val="24"/>
        </w:rPr>
        <w:br/>
        <w:t xml:space="preserve">Az Alaptörvény hatálybalépését követően új időszámítás kezdődött hazánk alkotmányos történetében. Ennek keretében a jogalkotó egy nagyon speciális megoldást is alkalmazott a húsvéti alkotmányban: beemelte a történeti alkotmány vívmányait a tételes jogba oly módon, hogy kötelezővé tette azok figyelembevételét az Alaptörvény rendelkezéseinek értelmezése során. (Alaptörvény R) cikk (3) bekezdés)</w:t>
      </w:r>
      <w:r>
        <w:rPr>
          <w:color w:val="000000"/>
          <w:sz w:val="24"/>
          <w:szCs w:val="24"/>
        </w:rPr>
        <w:br/>
        <w:t xml:space="preserve">Nem határozta meg azonban a jogalkotó sem az alkalmazható vívmányok körét, sem alkalmazhatóságuk kereteit, ezeket az Alkotmánybíróság gyakorlatára bízta.</w:t>
      </w:r>
      <w:r>
        <w:rPr>
          <w:color w:val="000000"/>
          <w:sz w:val="24"/>
          <w:szCs w:val="24"/>
        </w:rPr>
        <w:br/>
        <w:t xml:space="preserve">A dolgozat elsősorban ennek megfelelően az alkotmánybírósági gyakorlat és a témához kapcsolódó szakirodalom vizsgálatával törekszik képet adni a történeti alkotmány vívmányainak R) cikk (3) bekezdés szerinti gyakorlati jelentőségéről. Kitér továbbá a dolgozat az alkotmánybírósági gyakorlat mellett a történeti alkotmány fogalmának meghatározásával kapcsolatos nehézségekre, az R) cikk (3) bekezdésben foglaltak értelmezésére, és a történeti alkotmány vívmányainak körére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606534">
    <w:multiLevelType w:val="hybridMultilevel"/>
    <w:lvl w:ilvl="0" w:tplc="23432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606534">
    <w:abstractNumId w:val="796065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85477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