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takiboti1977@gmail.com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Zeller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Közszereplők tűrési kötelezettsége a véleménynyilvánítás szabadsága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véleménynyilvánítás; alapjog; korlátozás; közszereplők; jogvédelem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véleménynyilvánítás szabadsága a kommunikációs jogok anyajogaként kiemelkedő szerepet tölt be az alapjogok körében. Politikai jogként esélyt teremt a demokrácia és a demokratikus közvélemény kialakítására és fenntartására, emellett a személyiség kibontakoztatásának egyik alapköve. Az Alaptörvény IX. cikkének szabályozásából, valamint az Alkotmánybíróság gyakorlatából is kitűnik, hogy számos más alapjoggal állhat kapcsolatban, akár szemben is, így a vélemények szabad megalkotása és mások alapjogsérelme között vékony határ húzódik. Ennek megtalálása a jogalkotó elhanyagolhatatlan feladata.</w:t>
      </w:r>
      <w:r>
        <w:rPr>
          <w:color w:val="000000"/>
          <w:sz w:val="24"/>
          <w:szCs w:val="24"/>
        </w:rPr>
        <w:br/>
        <w:t xml:space="preserve">A dolgozat feltérképezi a véleményszabadság és a közéleti szereplőket érő kritika kapcsolatát és annak határvonalait. Nemzetközi és hazai példákon keresztül tárja fel a közszereplés problémáit: az emberi méltóságot sértő megnyilvánulásokat. A kutatás részletesen kitér a közérdek és a magánélet közötti egyensúly kérdésére, és napjainkban megjelenő viták elemzésével rávilágít a közéleti szereplőket érintő szabályozás hiányára, illetve a magyar bírói gyakorlat reformjának szükségességére. Kiemelt témaként kezeli a közéleti szerepvállalás önként vagy nem önként vállalt jellegének kérdését. Végül megoldásokat is megfogalmaz a személyiségi jogvédelem hatékonyabbá tételére, például a közösségi média „trollkodó” kommentelőivel szembeni szankciórendszer kidolgozásával, amely arányosan korlátozza a véleménynyilvánítás szabadságát, ugyanakkor védelmet biztosít az érintettek, a vélemény „céltáblái”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88615">
    <w:multiLevelType w:val="hybridMultilevel"/>
    <w:lvl w:ilvl="0" w:tplc="17074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88615">
    <w:abstractNumId w:val="97788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543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