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BORSODI-NAGY BARNABÁS</w:t>
            </w:r>
          </w:p>
          <w:p w:rsidR="00C275A3" w:rsidRDefault="00CA6B74" w:rsidP="00C275A3">
            <w:pPr>
              <w:pStyle w:val="Hallgatokepzes"/>
            </w:pPr>
            <w:r w:rsidRPr="001067CD">
              <w:rPr>
                <w:i/>
              </w:rPr>
              <w:t>barnabasborsodinagy@gmail.com</w:t>
            </w:r>
            <w:r w:rsidRPr="001067CD">
              <w:rPr>
                <w:i/>
              </w:rPr>
              <w:br/>
            </w:r>
            <w:r w:rsidR="00A96AEC">
              <w:t>law</w:t>
            </w:r>
            <w:r w:rsidR="00A96AEC">
              <w:br/>
            </w:r>
            <w:r w:rsidR="00E77B23">
              <w:t>Unified, 3.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Balázs László</w:t>
            </w:r>
          </w:p>
          <w:p w:rsidR="00DB4822" w:rsidRDefault="00DB4822" w:rsidP="00BA6BAF">
            <w:pPr>
              <w:pStyle w:val="Konzulensektitulus"/>
            </w:pPr>
            <w:r w:rsidRPr="00DB4822">
              <w:t>lecturer,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Status of the Hospites from Sopron and Their Role Among the Border Guarding Hospes Communities of Western Hungary in the 13th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hospes community; border guarding; legal status; costum exemption; contemporary charters</w:t>
      </w:r>
      <w:r>
        <w:t xml:space="preserve"/>
      </w:r>
    </w:p>
    <w:p>
      <w:pPr>
        <w:widowControl w:val="on"/>
        <w:pBdr/>
        <w:spacing w:before="240" w:after="240" w:line="240" w:lineRule="auto"/>
        <w:ind w:left="0" w:right="0"/>
        <w:jc w:val="left"/>
      </w:pPr>
      <w:r>
        <w:rPr>
          <w:color w:val="000000"/>
          <w:sz w:val="24"/>
          <w:szCs w:val="24"/>
        </w:rPr>
        <w:t xml:space="preserve">My thesis examines the legal and military history of the 13th century ‘hospes’ communities in Hungary, especially Sopron and similar communities in Western Hungary. The central question of my research is: did these ‘hospes’ communities receive additional rights in exchange for the additional obligations associated with border protection? Through the analysis of 31 contemporary charters, my thesis aims to explore the connection between border guarding tasks and the legal status of ‘hospes’ communities, the common intersections of medieval Hungarian military history, legal history and urban development, furthermore to open new perspectives in their interpretation by analyzing military historical events through legal documents and a legal historical perspective.</w:t>
      </w:r>
    </w:p>
    <w:p>
      <w:pPr>
        <w:widowControl w:val="on"/>
        <w:pBdr/>
        <w:spacing w:before="240" w:after="240" w:line="240" w:lineRule="auto"/>
        <w:ind w:left="0" w:right="0"/>
        <w:jc w:val="left"/>
      </w:pPr>
      <w:r>
        <w:rPr>
          <w:color w:val="000000"/>
          <w:sz w:val="24"/>
          <w:szCs w:val="24"/>
        </w:rPr>
        <w:t xml:space="preserve">I consider the novelty of my analysis to be that I conducted a comparative study of the contemporary charters, which I have divided into two groups according to the typology I established: border guard communities of Western Hungary and the so called ‘control group’. The former included settlements that I considered to be of border protection importance, based on the narrative part of the charters, such as: Sopron, Pozsony (Bratislava), Győr, Vasvár and Zágráb (Zagreb), and the latter included the remaining two dozen ‘hospes’ communities. My comparison criteria were the following: the appearance of the defense function, economic provisions and provisions related to justice. For the sake of completeness, I also made a comparison with other communities from the period that also basically performed defense tasks or played military role, such as the Saxons or the border guards from Magyarósd.</w:t>
      </w:r>
    </w:p>
    <w:p>
      <w:pPr>
        <w:widowControl w:val="on"/>
        <w:pBdr/>
        <w:spacing w:before="240" w:after="240" w:line="240" w:lineRule="auto"/>
        <w:ind w:left="0" w:right="0"/>
        <w:jc w:val="left"/>
      </w:pPr>
      <w:r>
        <w:rPr>
          <w:color w:val="000000"/>
          <w:sz w:val="24"/>
          <w:szCs w:val="24"/>
        </w:rPr>
        <w:t xml:space="preserve">In conclusion, I conclude in my thesis that the border guard communities did indeed receive additional rights compared to the other communities – even if the results are not necessarily black and white due to the heterogeneity of the legal status of the examined communities – and that these privileges were generally custom exemptions among these communities.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35288">
    <w:multiLevelType w:val="hybridMultilevel"/>
    <w:lvl w:ilvl="0" w:tplc="73194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35288">
    <w:abstractNumId w:val="82535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521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