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ZSÓFIA PATAKI</w:t>
            </w:r>
          </w:p>
          <w:p w:rsidR="00C275A3" w:rsidRDefault="00CA6B74" w:rsidP="00C275A3">
            <w:pPr>
              <w:pStyle w:val="Hallgatokepzes"/>
            </w:pPr>
            <w:r w:rsidRPr="001067CD">
              <w:rPr>
                <w:i/>
              </w:rPr>
              <w:t>p.zsofi0225@gmail.com</w:t>
            </w:r>
            <w:r w:rsidRPr="001067CD">
              <w:rPr>
                <w:i/>
              </w:rPr>
              <w:br/>
            </w:r>
            <w:r w:rsidR="00A96AEC">
              <w:t>Law</w:t>
            </w:r>
            <w:r w:rsidR="00A96AEC">
              <w:br/>
            </w:r>
            <w:r w:rsidR="00E77B23">
              <w:t>Unified, 7. semester</w:t>
            </w:r>
          </w:p>
          <w:p w:rsidR="00C265CE" w:rsidRPr="009E5FF1" w:rsidRDefault="00E77B23" w:rsidP="00BA6BAF">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Ágnes Pápai-Tarr</w:t>
            </w:r>
          </w:p>
          <w:p w:rsidR="00DB4822" w:rsidRDefault="00DB4822" w:rsidP="00BA6BAF">
            <w:pPr>
              <w:pStyle w:val="Konzulensektitulus"/>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reform of the penitentiary system: the interconnections between prison harms, the credit system, and conditional release.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penintentiary system; category-and-credit system; conditional release; prison harms;</w:t>
      </w:r>
      <w:r>
        <w:t xml:space="preserve"/>
      </w:r>
    </w:p>
    <w:p>
      <w:pPr>
        <w:widowControl w:val="on"/>
        <w:pBdr/>
        <w:spacing w:before="240" w:after="240" w:line="240" w:lineRule="auto"/>
        <w:ind w:left="0" w:right="0"/>
        <w:jc w:val="left"/>
      </w:pPr>
      <w:r>
        <w:rPr>
          <w:color w:val="000000"/>
          <w:sz w:val="24"/>
          <w:szCs w:val="24"/>
        </w:rPr>
        <w:t xml:space="preserve">Numerous theories have been developed throughout the evolution of law to define the purpose of punishment. Nowadays, the European legal systems are driven by the principle that punishment should actively promote the offender's reintegration into society. In March 2024, to enforce this thesis, a category-and-credit system was introduced, reforming correctional regimes. Its aim is to ensure that offenders take an active role in their process of social reintegration. The latest amendments to the Penal Execution Act have transformed the penintentiary system, marking significant steps toward modernizing the correctional system and implementing internationally proven practices at the national level.</w:t>
      </w:r>
    </w:p>
    <w:p>
      <w:pPr>
        <w:widowControl w:val="on"/>
        <w:pBdr/>
        <w:spacing w:before="240" w:after="240" w:line="240" w:lineRule="auto"/>
        <w:ind w:left="0" w:right="0"/>
        <w:jc w:val="left"/>
      </w:pPr>
      <w:r>
        <w:rPr>
          <w:color w:val="000000"/>
          <w:sz w:val="24"/>
          <w:szCs w:val="24"/>
        </w:rPr>
        <w:t xml:space="preserve">The thesis is built around three main topics: in addition to the reforms in the penitentiary system, it provides a detailed examination of prison harms and the institution of conditional release (parole). Beyond an in-depth examination of prison harms and the named legal institutions, the research also explores the interconnections between these legal institutions. It was concluded that the objectives of the two institutions under review are similar, focusing on mitigating the harms caused by imprisonment, facilitating reintegration, and reducing the risk of recidivism.</w:t>
      </w:r>
    </w:p>
    <w:p>
      <w:pPr>
        <w:widowControl w:val="on"/>
        <w:pBdr/>
        <w:spacing w:before="240" w:after="240" w:line="240" w:lineRule="auto"/>
        <w:ind w:left="0" w:right="0"/>
        <w:jc w:val="left"/>
      </w:pPr>
      <w:r>
        <w:rPr>
          <w:color w:val="000000"/>
          <w:sz w:val="24"/>
          <w:szCs w:val="24"/>
        </w:rPr>
        <w:t xml:space="preserve">Prison harms refer to the effects arising from the nature and totality of penitentiary institutions that negatively influence the offender's personality. My research not only presents prison harms but also explores how these personality changes can be mitigated by both legal institutions.</w:t>
      </w:r>
    </w:p>
    <w:p>
      <w:pPr>
        <w:widowControl w:val="on"/>
        <w:pBdr/>
        <w:spacing w:before="240" w:after="240" w:line="240" w:lineRule="auto"/>
        <w:ind w:left="0" w:right="0"/>
        <w:jc w:val="left"/>
      </w:pPr>
      <w:r>
        <w:rPr>
          <w:color w:val="000000"/>
          <w:sz w:val="24"/>
          <w:szCs w:val="24"/>
        </w:rPr>
        <w:t xml:space="preserve">The regulation of conditional release is characterized by a unique duality of substantive and enforcement law. While the rules governing the institution are found in substantive legal codes, the institution also has a significant enforcement law dimension. One of the key findings of my thesis is the need to review the regulation of conditional release. My regulatory proposals are driven by the aim to meet international requirements and align the category-and-credit system with conditional release. The introduction of reforms highlights that changes implemented in isolated areas of the criminal justice system are only effective to a limited extent without a coherent structure for the system as a whole.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67507">
    <w:multiLevelType w:val="hybridMultilevel"/>
    <w:lvl w:ilvl="0" w:tplc="27939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67507">
    <w:abstractNumId w:val="360675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526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