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PÁL NORBERT LAJOS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palnorbert0717@gmail.com</w:t>
            </w:r>
            <w:r w:rsidRPr="001067CD">
              <w:rPr>
                <w:i/>
              </w:rPr>
              <w:br/>
            </w:r>
            <w:r w:rsidR="00A96AEC">
              <w:t>jogász</w:t>
            </w:r>
            <w:r w:rsidR="00A96AEC">
              <w:br/>
            </w:r>
            <w:r w:rsidR="00E77B23">
              <w:t>Osztatlan, 9.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Debreceni Egyetem</w:t>
            </w:r>
            <w:r w:rsidR="00C275A3">
              <w:br/>
            </w:r>
            <w:r w:rsidR="00DB4822">
              <w:t>Állam- és Jogtudományi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Pribula László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tanár, DE ÁJK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Honnan hová? A polgári peres eljárások szakértői bizonyításának jogtörténeti fejlődése, kihívásai és jövőbeli perspektívái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szakértői bizonyítás; eseti szakértők; szakértőhiány; Szaktv.; alapelvek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polgári perekben a bizonyítás kérdése mindig is kiemelt jelentőséggel bírt, hiszen a</w:t>
      </w:r>
      <w:r>
        <w:rPr>
          <w:color w:val="000000"/>
          <w:sz w:val="24"/>
          <w:szCs w:val="24"/>
        </w:rPr>
        <w:br/>
        <w:t xml:space="preserve">tényállás megállapítása és a jogvita eldöntése szorosan összefügg a bizonyítékok minőségével</w:t>
      </w:r>
      <w:r>
        <w:rPr>
          <w:color w:val="000000"/>
          <w:sz w:val="24"/>
          <w:szCs w:val="24"/>
        </w:rPr>
        <w:br/>
        <w:t xml:space="preserve">és megbízhatóságával. Az utóbbi időszak vizsgálata alapján egyértelműen megállapítható,</w:t>
      </w:r>
      <w:r>
        <w:rPr>
          <w:color w:val="000000"/>
          <w:sz w:val="24"/>
          <w:szCs w:val="24"/>
        </w:rPr>
        <w:br/>
        <w:t xml:space="preserve">hogy a jogalkotásban és a joggyakorlatban egyaránt előtérbe került a szakértők szerepének</w:t>
      </w:r>
      <w:r>
        <w:rPr>
          <w:color w:val="000000"/>
          <w:sz w:val="24"/>
          <w:szCs w:val="24"/>
        </w:rPr>
        <w:br/>
        <w:t xml:space="preserve">felülvizsgálata, melyet a 2024. júliusán végbement Szaktv. módosítás is alátámaszt. Ahogyan</w:t>
      </w:r>
      <w:r>
        <w:rPr>
          <w:color w:val="000000"/>
          <w:sz w:val="24"/>
          <w:szCs w:val="24"/>
        </w:rPr>
        <w:br/>
        <w:t xml:space="preserve">arra a dolgozat is rávilágít, a megfelelő szakmai tapasztalattal rendelkező igazságügyi</w:t>
      </w:r>
      <w:r>
        <w:rPr>
          <w:color w:val="000000"/>
          <w:sz w:val="24"/>
          <w:szCs w:val="24"/>
        </w:rPr>
        <w:br/>
        <w:t xml:space="preserve">szakértők létszáma kritikusan alacsony, amelyre a jogalkotó a megoldást a szakértői törvény</w:t>
      </w:r>
      <w:r>
        <w:rPr>
          <w:color w:val="000000"/>
          <w:sz w:val="24"/>
          <w:szCs w:val="24"/>
        </w:rPr>
        <w:br/>
        <w:t xml:space="preserve">említett módosításában látta.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 fő kérdése, hogy milyen eljárásjogi „talajra” hullik a módosítás gyümölcse,</w:t>
      </w:r>
      <w:r>
        <w:rPr>
          <w:color w:val="000000"/>
          <w:sz w:val="24"/>
          <w:szCs w:val="24"/>
        </w:rPr>
        <w:br/>
        <w:t xml:space="preserve">valamint milyen várható tendenciákkal lehet számolni a jövőben. Megvizsgálásra kerül, hogy</w:t>
      </w:r>
      <w:r>
        <w:rPr>
          <w:color w:val="000000"/>
          <w:sz w:val="24"/>
          <w:szCs w:val="24"/>
        </w:rPr>
        <w:br/>
        <w:t xml:space="preserve">mennyiben áll szinkronban a hatályos szabályozás a szakértőkkel szemben támasztott szakmai</w:t>
      </w:r>
      <w:r>
        <w:rPr>
          <w:color w:val="000000"/>
          <w:sz w:val="24"/>
          <w:szCs w:val="24"/>
        </w:rPr>
        <w:br/>
        <w:t xml:space="preserve">követelményekkel a gyakorlatban, az eljárásjogi kódexben található normákkal, valamint a</w:t>
      </w:r>
      <w:r>
        <w:rPr>
          <w:color w:val="000000"/>
          <w:sz w:val="24"/>
          <w:szCs w:val="24"/>
        </w:rPr>
        <w:br/>
        <w:t xml:space="preserve">perjogi alapelvekkel. A jelenlegi szabályozás megalkotása során a jogalkotó szakított a</w:t>
      </w:r>
      <w:r>
        <w:rPr>
          <w:color w:val="000000"/>
          <w:sz w:val="24"/>
          <w:szCs w:val="24"/>
        </w:rPr>
        <w:br/>
        <w:t xml:space="preserve">korábbi tiszta modellel, és azzal ellentétben a vegyes modell mellett döntött, amely azonban</w:t>
      </w:r>
      <w:r>
        <w:rPr>
          <w:color w:val="000000"/>
          <w:sz w:val="24"/>
          <w:szCs w:val="24"/>
        </w:rPr>
        <w:br/>
        <w:t xml:space="preserve">számos ellentmondást hordoz magában. A tanulmányban kibontásra kerülnek ezen problémák</w:t>
      </w:r>
      <w:r>
        <w:rPr>
          <w:color w:val="000000"/>
          <w:sz w:val="24"/>
          <w:szCs w:val="24"/>
        </w:rPr>
        <w:br/>
        <w:t xml:space="preserve">is, mint például a rendelkezési elv, valamint a tisztességes eljárás összeegyeztethetetlensége.</w:t>
      </w:r>
      <w:r>
        <w:rPr>
          <w:color w:val="000000"/>
          <w:sz w:val="24"/>
          <w:szCs w:val="24"/>
        </w:rPr>
        <w:br/>
        <w:t xml:space="preserve">Másrészt ütközés érzékelhető a magánjogi jogvitának a polgári peres úton történő rendezése</w:t>
      </w:r>
      <w:r>
        <w:rPr>
          <w:color w:val="000000"/>
          <w:sz w:val="24"/>
          <w:szCs w:val="24"/>
        </w:rPr>
        <w:br/>
        <w:t xml:space="preserve">és a szakértő, mint közjogi szereplő személye között.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képzeletbeli „talajunkhoz” tartozik egy gyökérzet is, amely bemutatja a szakértői bizonyítás</w:t>
      </w:r>
      <w:r>
        <w:rPr>
          <w:color w:val="000000"/>
          <w:sz w:val="24"/>
          <w:szCs w:val="24"/>
        </w:rPr>
        <w:br/>
        <w:t xml:space="preserve">jogtörténeti előzményeit, majd elvezeti az olvasót a hatályos szabályozás megismeréséhez,</w:t>
      </w:r>
      <w:r>
        <w:rPr>
          <w:color w:val="000000"/>
          <w:sz w:val="24"/>
          <w:szCs w:val="24"/>
        </w:rPr>
        <w:br/>
        <w:t xml:space="preserve">ahol bemutatásra kerül a három szakértői bizonyítási mód a szerző elemző, olykor kritizáló</w:t>
      </w:r>
      <w:r>
        <w:rPr>
          <w:color w:val="000000"/>
          <w:sz w:val="24"/>
          <w:szCs w:val="24"/>
        </w:rPr>
        <w:br/>
        <w:t xml:space="preserve">perspektíváján keresztül. A dolgozatban ezt követően részletesen elemzésre kerül az eseti</w:t>
      </w:r>
      <w:r>
        <w:rPr>
          <w:color w:val="000000"/>
          <w:sz w:val="24"/>
          <w:szCs w:val="24"/>
        </w:rPr>
        <w:br/>
        <w:t xml:space="preserve">szakértők szerepe, mint a jelen nehézségeinek - a jogalkotó álláspontja szerint - potenciális</w:t>
      </w:r>
      <w:r>
        <w:rPr>
          <w:color w:val="000000"/>
          <w:sz w:val="24"/>
          <w:szCs w:val="24"/>
        </w:rPr>
        <w:br/>
        <w:t xml:space="preserve">megoldása, majd kutatás elején felvetett kérdések megválaszolása. A dolgozat végül értékeli a</w:t>
      </w:r>
      <w:r>
        <w:rPr>
          <w:color w:val="000000"/>
          <w:sz w:val="24"/>
          <w:szCs w:val="24"/>
        </w:rPr>
        <w:br/>
        <w:t xml:space="preserve">módosítások hatásait, jövőképet vázol az olvasó számára, és állást foglal a jogalkotói</w:t>
      </w:r>
      <w:r>
        <w:rPr>
          <w:color w:val="000000"/>
          <w:sz w:val="24"/>
          <w:szCs w:val="24"/>
        </w:rPr>
        <w:br/>
        <w:t xml:space="preserve">döntéssekkel kapcsolatban.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9709738">
    <w:multiLevelType w:val="hybridMultilevel"/>
    <w:lvl w:ilvl="0" w:tplc="6898865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9709738">
    <w:abstractNumId w:val="7970973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8530656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