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eszterhegedus3@gmail.com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Pribula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Különleges-e az általános? A jogi személyeket mint speciális elemeket magába foglaló magyar polgári perjog gyakorlata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innováció, polgári eljárásjog, jogi személyek, költséghatékonyság,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társadalom átalakulása okán megnövekedett számú jogi személyek külső valamint szervezeten belüli, belső jogviszonyaikkal összefüggő peres kérdéseit vizsgáltam.</w:t>
      </w:r>
      <w:r>
        <w:rPr>
          <w:color w:val="000000"/>
          <w:sz w:val="24"/>
          <w:szCs w:val="24"/>
        </w:rPr>
        <w:br/>
        <w:t xml:space="preserve">A tanulmány hipotézise szerint a jogi személyeket, mint speciális elemeket tartalmazó polgári perek szabályozása a jelenlegi társadalmi és jogszabályi környezetnek már nem felel meg, erőteljesen hiányos és átláthatatlan, amely lényeges időelhúzódásokat és többletköltségeket eredményez a magyar polgári perek során.</w:t>
      </w:r>
      <w:r>
        <w:rPr>
          <w:color w:val="000000"/>
          <w:sz w:val="24"/>
          <w:szCs w:val="24"/>
        </w:rPr>
        <w:br/>
        <w:t xml:space="preserve">A kutatás módszertanát tekintve az eseti döntések tematikus, csoportosított módon, a bennük szereplő kulcsfogalmak azonosításával, mindemellett pedig egymással komparatív módon is elemzésre kerültek, egyes döntések pedig esettanulmányokként is megjelennek a dolgozatban. A statisztikai vizsgálat inkább a kérdésfeltevésekben és a probléma elsőkörben történő azonosításában jelent meg. Jogszociológiai elemzésen át a hipotézis kérdéseken keresztül történő tesztelése és a de lege ferenda javaslatok legfőbb célja az olyan innovatív megoldás kidolgozása történt meg, amely a fentebb megjelölt problémákat országszinten orvosolni lehet képes. A tanulmány elején feltett legnagyobb kérdés az, hogy megfelelő-e a jelenlegiekben a tárgykör szabályozása, vagy kisebb, esetleg nagyobb mértékű módosítások váltak szükségessé.</w:t>
      </w:r>
      <w:r>
        <w:rPr>
          <w:color w:val="000000"/>
          <w:sz w:val="24"/>
          <w:szCs w:val="24"/>
        </w:rPr>
        <w:br/>
        <w:t xml:space="preserve">A dolgozat végi összegzésben kutatási eredményként megfogalmazásra került, hogy a jogi személyeket magában foglaló perek különlegessége sem dogmatikai, sem a gyakorlati szempontból nem képezhet vitát, így ezeknek a különleges perekként a polgári perrendtartásban való szabályozása indokolt azzal, hogy külön jogszabály alkotására való szükségességet a kutatás nem igazolt.</w:t>
      </w:r>
      <w:r>
        <w:rPr>
          <w:color w:val="000000"/>
          <w:sz w:val="24"/>
          <w:szCs w:val="24"/>
        </w:rPr>
        <w:br/>
        <w:t xml:space="preserve">A dolgozatban javasolt egységesítésekkel elérhető az is, hogy mind a felek, azok jogi képviselői, valamint a bírák egyértelműbben meghatározhassák a jogvita kereteit a perfelétel körében, ezzel megelőzve a per elhúzódását és esetleges olyan anyagi jogi tévedéseket, eljárási szabálysértéseket amelyek akár később az elsőfokon eljárt bíróság új eljárásra utasítását is eredményezhetik.</w:t>
      </w:r>
      <w:r>
        <w:rPr>
          <w:color w:val="000000"/>
          <w:sz w:val="24"/>
          <w:szCs w:val="24"/>
        </w:rPr>
        <w:br/>
        <w:t xml:space="preserve">Összességében tehát az innovatív reform kívánatos, mind a felek jogbiztonságba, igazságszolgáltatásba vetett bizalmának növelése, mind a peres eljárások időtartama és az azokra az állam és a felek által fordított költségek csökkentése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53597">
    <w:multiLevelType w:val="hybridMultilevel"/>
    <w:lvl w:ilvl="0" w:tplc="25291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53597">
    <w:abstractNumId w:val="33953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585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