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HEGEDÜS</w:t>
            </w:r>
          </w:p>
          <w:p w:rsidR="00C275A3" w:rsidRDefault="00CA6B74" w:rsidP="00C275A3">
            <w:pPr>
              <w:pStyle w:val="Hallgatokepzes"/>
            </w:pPr>
            <w:r w:rsidRPr="001067CD">
              <w:rPr>
                <w:i/>
              </w:rPr>
              <w:t>eszterhegedus3@gmail.com</w:t>
            </w:r>
            <w:r w:rsidRPr="001067CD">
              <w:rPr>
                <w:i/>
              </w:rPr>
              <w:br/>
            </w:r>
            <w:r w:rsidR="00A96AEC">
              <w:t>Law</w:t>
            </w:r>
            <w:r w:rsidR="00A96AEC">
              <w:br/>
            </w:r>
            <w:r w:rsidR="00E77B23">
              <w:t>Unified, 9. semester</w:t>
            </w:r>
          </w:p>
          <w:p w:rsidR="00C265CE" w:rsidRPr="009E5FF1" w:rsidRDefault="00E77B23" w:rsidP="00BA6BAF">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Pribula</w:t>
            </w:r>
          </w:p>
          <w:p w:rsidR="00DB4822" w:rsidRDefault="00DB4822" w:rsidP="00BA6BAF">
            <w:pPr>
              <w:pStyle w:val="Konzulensektitulus"/>
            </w:pPr>
            <w:r w:rsidRPr="00DB4822">
              <w:t>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the general special? The practice of Hungarian civil procedural law which includes legal entities as special elements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innovation, civil procedure, legal entities, cost efficiency, transparency</w:t>
      </w:r>
      <w:r>
        <w:t xml:space="preserve"/>
      </w:r>
    </w:p>
    <w:p>
      <w:pPr>
        <w:widowControl w:val="on"/>
        <w:pBdr/>
        <w:spacing w:before="240" w:after="240" w:line="240" w:lineRule="auto"/>
        <w:ind w:left="0" w:right="0"/>
        <w:jc w:val="left"/>
      </w:pPr>
      <w:r>
        <w:rPr>
          <w:color w:val="000000"/>
          <w:sz w:val="24"/>
          <w:szCs w:val="24"/>
        </w:rPr>
        <w:t xml:space="preserve">In my thesis, I examined the legal issues related to the internal and external legal relations of legal entities, the number of which has increased due to the transformation of society.</w:t>
      </w:r>
      <w:r>
        <w:rPr>
          <w:color w:val="000000"/>
          <w:sz w:val="24"/>
          <w:szCs w:val="24"/>
        </w:rPr>
        <w:br/>
        <w:t xml:space="preserve">The hypothesis of the study is that the regulation of civil suits involving legal entities as special elements is no longer in line with the current social and legal environment, and is highly incomplete and opaque, which results in substantial delays and additional costs in Hungarian civil lawsuits.</w:t>
      </w:r>
      <w:r>
        <w:rPr>
          <w:color w:val="000000"/>
          <w:sz w:val="24"/>
          <w:szCs w:val="24"/>
        </w:rPr>
        <w:br/>
        <w:t xml:space="preserve">In terms of the research methodology, the case decisions have been analysed in a thematic, grouped manner, identifying the key concepts they contain, but also in a comparative manner, with some decisions also appearing as case studies in the thesis. Statistical analysis was used more in the formulation of questions and in the identification of the problem in the first instance. Through a legal sociological analysis, the main aim of testing the hypothesis through questions and de lege ferenda proposals was to develop an innovative solution that could address the problems identified above at country level. The main question asked at the beginning of the study is whether the current regulation of the subject is adequate or whether minor or major changes are needed.</w:t>
      </w:r>
      <w:r>
        <w:rPr>
          <w:color w:val="000000"/>
          <w:sz w:val="24"/>
          <w:szCs w:val="24"/>
        </w:rPr>
        <w:br/>
        <w:t xml:space="preserve">In the conclusion of the thesis it was stated as a research result that the special nature of lawsuits involving legal entities cannot be disputed from either a doctrinal or a practical point of view, so the regulation of these special lawsuits as such in the Code of Civil Procedure is justified, as the research did not prove the need for a separate law.</w:t>
      </w:r>
      <w:r>
        <w:rPr>
          <w:color w:val="000000"/>
          <w:sz w:val="24"/>
          <w:szCs w:val="24"/>
        </w:rPr>
        <w:br/>
        <w:t xml:space="preserve">The unification proposed in this study would also enable the parties, their legal representatives and the judges to define the context of the dispute more clearly, thus preventing the protraction of the lawsuit and possible substantive errors of law and procedural irregularities which could even result in the court of first instance being ordered to reopen the proceedings.</w:t>
      </w:r>
      <w:r>
        <w:rPr>
          <w:color w:val="000000"/>
          <w:sz w:val="24"/>
          <w:szCs w:val="24"/>
        </w:rPr>
        <w:br/>
        <w:t xml:space="preserve">Overall, therefore, innovative reform is desirable, both to increase the parties' confidence in legal certainty and the administration of justice and to reduce the duration of litigation and the costs incurred by the state and the parties.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19455">
    <w:multiLevelType w:val="hybridMultilevel"/>
    <w:lvl w:ilvl="0" w:tplc="29678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19455">
    <w:abstractNumId w:val="500194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6918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