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FIÁK ÁDÁM</w:t>
            </w:r>
          </w:p>
          <w:p w:rsidR="00C275A3" w:rsidRDefault="00CA6B74" w:rsidP="00C275A3">
            <w:pPr>
              <w:pStyle w:val="Hallgatokepzes"/>
            </w:pPr>
            <w:r w:rsidRPr="001067CD">
              <w:rPr>
                <w:i/>
              </w:rPr>
              <w:t>adifiak@gmail.com</w:t>
            </w:r>
            <w:r w:rsidRPr="001067CD">
              <w:rPr>
                <w:i/>
              </w:rPr>
              <w:br/>
            </w:r>
            <w:r w:rsidR="00A96AEC">
              <w:t>Mérnökinformatikus</w:t>
            </w:r>
            <w:r w:rsidR="00A96AEC">
              <w:br/>
            </w:r>
            <w:r w:rsidR="00E77B23">
              <w:t>BSc, 7. félév</w:t>
            </w:r>
          </w:p>
          <w:p w:rsidR="00C265CE" w:rsidRPr="009E5FF1" w:rsidRDefault="00E77B23" w:rsidP="00BA6BAF">
            <w:pPr>
              <w:pStyle w:val="Hallgatointezmeny-kar"/>
              <w:rPr>
                <w:b/>
                <w:caps/>
              </w:rPr>
            </w:pPr>
            <w:r>
              <w:t>Budapesti Műszaki és Gazdaságtudományi Egyetem</w:t>
            </w:r>
            <w:r w:rsidR="00C275A3">
              <w:br/>
            </w:r>
            <w:r w:rsidR="00DB4822">
              <w:t>Villamosmérnöki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Molnár Vince</w:t>
            </w:r>
          </w:p>
          <w:p w:rsidR="00DB4822" w:rsidRDefault="00DB4822" w:rsidP="00BA6BAF">
            <w:pPr>
              <w:pStyle w:val="Konzulensektitulus"/>
            </w:pPr>
            <w:r w:rsidRPr="00DB4822">
              <w:t>Adjunktus,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SysML v2 fejlesztési módszertan kiberfizikai rendszerek modellalapú tervezéséhez és analíziséhez</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SysML v2; modellalapú-rendszertervezés; kiberfizikai rendszerek; szimuláció</w:t>
      </w:r>
      <w:r>
        <w:t xml:space="preserve"/>
      </w:r>
    </w:p>
    <w:p>
      <w:pPr>
        <w:widowControl w:val="on"/>
        <w:pBdr/>
        <w:spacing w:before="240" w:after="240" w:line="240" w:lineRule="auto"/>
        <w:ind w:left="0" w:right="0"/>
        <w:jc w:val="left"/>
      </w:pPr>
      <w:r>
        <w:rPr>
          <w:color w:val="000000"/>
          <w:sz w:val="24"/>
          <w:szCs w:val="24"/>
        </w:rPr>
        <w:t xml:space="preserve">A kritikus rendszerek – mint például a repülőgépek vagy az atomerőművek – tervezése során kiemelten fontos, hogy azok bizonyíthatóan megbízhatóan és hibamentesen működjenek. A rendszerek komplexitásának növekedése miatt a hagyományos módszereket elkezdte felváltani a modellalapú rendszertervezés (Model-based Systems Engineering, MB-SE), amely mérnöki modellezési nyelveket használ a rendszerek precíz leírására. Emellett más műszaki területeken már elterjedt a szimulációs technológiák - validációs folyamatokban történő, illetve fejlesztést segítő - alkalmazása is.</w:t>
      </w:r>
    </w:p>
    <w:p>
      <w:pPr>
        <w:widowControl w:val="on"/>
        <w:pBdr/>
        <w:spacing w:before="240" w:after="240" w:line="240" w:lineRule="auto"/>
        <w:ind w:left="0" w:right="0"/>
        <w:jc w:val="left"/>
      </w:pPr>
      <w:r>
        <w:rPr>
          <w:color w:val="000000"/>
          <w:sz w:val="24"/>
          <w:szCs w:val="24"/>
        </w:rPr>
        <w:t xml:space="preserve">A szakirodalomban az MBSE és a szimulációs technológiák egyesítésének már számos előnyére rámutattak. Az MBSE területén új lehetőségeket és kihívásokat hoz a megjelenés előtt álló SysML v2 nyelv, amely teljesen új alapokra helyezi a széles körben elterjedt SysML-t. Az újdonságok miatt azonban jelenleg még nincs kiforrott módszertan arra, hogyan érdemes SysML v2 nyelven rendszereket modellezni. Ugyanakkor a nyelv ígéretes funkciókkal rendelkezik, amelyek várhatóan a korábbinál nagyobb mértékben teszik majd lehetővé a szimulációs modellek és technológiák integrálását.</w:t>
      </w:r>
    </w:p>
    <w:p>
      <w:pPr>
        <w:widowControl w:val="on"/>
        <w:pBdr/>
        <w:spacing w:before="240" w:after="240" w:line="240" w:lineRule="auto"/>
        <w:ind w:left="0" w:right="0"/>
        <w:jc w:val="left"/>
      </w:pPr>
      <w:r>
        <w:rPr>
          <w:color w:val="000000"/>
          <w:sz w:val="24"/>
          <w:szCs w:val="24"/>
        </w:rPr>
        <w:t xml:space="preserve">Dolgozatomban először összegyűjtöm egy, a fentieknek megfelelő módszertannal szembeni elvárásokat, illetve a lehetséges megközelítéseket a fontosabb alapkérdésekben. Ezen lehetőségeknek és követelményeknek a kiértékelése után, azokra válaszként teszek javaslatot egy SysML v2-t alkalmazó modellezési módszerre, melyet a dolgozat végén egy esettanulmányban értékelek ki egy komplex pédldán keresztül.</w:t>
      </w:r>
    </w:p>
    <w:p>
      <w:pPr>
        <w:widowControl w:val="on"/>
        <w:pBdr/>
        <w:spacing w:before="240" w:after="240" w:line="240" w:lineRule="auto"/>
        <w:ind w:left="0" w:right="0"/>
        <w:jc w:val="left"/>
      </w:pPr>
      <w:r>
        <w:rPr>
          <w:color w:val="000000"/>
          <w:sz w:val="24"/>
          <w:szCs w:val="24"/>
        </w:rPr>
        <w:t xml:space="preserve">Eredményként elmondható, hogy a dolgozatban bevezettem egy új, allokáció központú, szimulációs módszerket támogató modellezési megközelítést és kidolgoztam egy ezt felhasználó módszer alapjait, melyet egy kvadkopter modellezésén keresztül vizsgáltam meg részletesen. Az esettanulmány alapján az új modellezési nézőpont és a ráépülő módszer jól alkalmazhatónak bizonyult és támogatja az MBSE és a szimulációs technológiák együttes alkalmazását. A tapasztalatok alapján azonosítottam a gyakorlatban szükséges eszköztámogatási elemeket is, melyek a további fejlesztés tárgyát képzik majd.</w:t>
      </w:r>
    </w:p>
    <w:p>
      <w:pPr>
        <w:widowControl w:val="on"/>
        <w:pBdr/>
        <w:spacing w:before="240" w:after="240" w:line="240" w:lineRule="auto"/>
        <w:ind w:left="0" w:right="0"/>
        <w:jc w:val="left"/>
      </w:pPr>
      <w:r>
        <w:rPr>
          <w:color w:val="000000"/>
          <w:sz w:val="24"/>
          <w:szCs w:val="24"/>
        </w:rPr>
        <w:t xml:space="preserve">--- ACM klasszifikáció ---</w:t>
      </w:r>
    </w:p>
    <w:p>
      <w:pPr>
        <w:widowControl w:val="on"/>
        <w:pBdr/>
        <w:spacing w:before="240" w:after="240" w:line="240" w:lineRule="auto"/>
        <w:ind w:left="0" w:right="0"/>
        <w:jc w:val="left"/>
      </w:pPr>
      <w:r>
        <w:rPr>
          <w:color w:val="000000"/>
          <w:sz w:val="24"/>
          <w:szCs w:val="24"/>
        </w:rPr>
        <w:t xml:space="preserve">-Software and its engineering/Software organization and properties/Software system structures/Software system models/Model-driven software engineering</w:t>
      </w:r>
    </w:p>
    <w:p>
      <w:pPr>
        <w:widowControl w:val="on"/>
        <w:pBdr/>
        <w:spacing w:before="240" w:after="240" w:line="240" w:lineRule="auto"/>
        <w:ind w:left="0" w:right="0"/>
        <w:jc w:val="left"/>
      </w:pPr>
      <w:r>
        <w:rPr>
          <w:color w:val="000000"/>
          <w:sz w:val="24"/>
          <w:szCs w:val="24"/>
        </w:rPr>
        <w:t xml:space="preserve">-Software and its engineering/Software notations and tools/System description languages/System modeling languages</w:t>
      </w:r>
    </w:p>
    <w:p>
      <w:pPr>
        <w:widowControl w:val="on"/>
        <w:pBdr/>
        <w:spacing w:before="240" w:after="240" w:line="240" w:lineRule="auto"/>
        <w:ind w:left="0" w:right="0"/>
        <w:jc w:val="left"/>
      </w:pPr>
      <w:r>
        <w:rPr>
          <w:color w:val="000000"/>
          <w:sz w:val="24"/>
          <w:szCs w:val="24"/>
        </w:rPr>
        <w:t xml:space="preserve">-Computing methodologies/Modeling and simulation/Model development and analysis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638500">
    <w:multiLevelType w:val="hybridMultilevel"/>
    <w:lvl w:ilvl="0" w:tplc="703131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638500">
    <w:abstractNumId w:val="246385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87567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