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VÁRADI KRISTÓF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vkristof20@protonmail.com</w:t>
            </w:r>
            <w:r w:rsidRPr="001067CD">
              <w:rPr>
                <w:i/>
              </w:rPr>
              <w:br/>
            </w:r>
            <w:r w:rsidR="00A96AEC">
              <w:t>Mérnökinformatikus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Villamosmérnöki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Marosi Márk</w:t>
            </w:r>
          </w:p>
          <w:p w:rsidR="00DB4822" w:rsidRDefault="00DB4822" w:rsidP="00BA6BAF">
            <w:pPr>
              <w:pStyle w:val="Konzulensektitulus"/>
            </w:pPr>
            <w:r w:rsidRPr="00DB4822">
              <w:t>Doktorandusz, BME 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Interpretability of Molecular Language Models for Drug Development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Mechanisztikus interpretálhatóság, Nyelvi modellek, Neurális hálózatok, Gyógyszerfejlesztés, Számítógépes kémia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neurális hálózatokon alapuló generatív statisztikai modellek a számítógépes kémia számos területén hasznosnak bizonyulnak, azonban az ilyen rendszerek feketedoboz jellegű viselkedése gyakran korlátozza alkalmazhatóságukat.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Munkánkban a napjainkban elterjedt, transzformer architektúrán alapuló nyelvi modellek gyógyszerfejlesztésben való alkalmazhatóságát vizsgáljuk, különös figyelmet fordítva a de novo molekulaszintézishez használt generatív szekvenciális modellek belső reprezentációinak magyarázhatóságára. Elemzésünk eszközéül a mechanisztikus interpretálhatóságból ismert ritka autoenkóderek tanítását választjuk, amelyekkel területspecifikus transzformerek aktivációit tanulmányozzuk.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Ismeretünk szerint a munkánk az egyik első eredményes kísérlet a mechanisztikus interpretálhatóság alkalmazására a számítógépes kémia területén. A dolgozatban ismertetünk egy új stratégiát az aktivációkhoz tartozó magyarázatok automatikus elkészítésére és minőségértékelésére, továbbá bemutatunk egy új módszert a vizsgált modellek strukturált irányítására magyarázható tulajdonságok segítségével.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Kísérleteink igazolják, hogy a mechanisztikus interpretálhatóság eszközei az általános célú nyelvi modelleken túl szűkebb területeken és specializáltabb rendszereken is alkalmazhatóak, a ritka autoenkóderek pedig képesek monoszemantikus reprezentációkat tanulni a kémiai struktúrák lineáris leképzéséből. Munkánkból kiderül, hogy az általános felhasználású generatív nyelvi modellek képesek komplex kémiai struktúrákat felismerni, illetve képesek következtetni a magyarázható tulajdonságok funkciójára is. A dolgozatban közölt irányítási esettanulmány demonstrálja az interpretálhatóság ígéretességét a kondícionális molekulagenerálás esetében. Eredményeink szerint a közölt módszerek skálázása és gyógyszerfejlesztési folyamatokba történő intergrálása növelheti a kémiai gépi tanulás átláthatóságát és eredményességét.</w:t>
      </w:r>
      <w:r>
        <w:rPr>
          <w:color w:val="000000"/>
          <w:sz w:val="24"/>
          <w:szCs w:val="24"/>
        </w:rPr>
        <w:br/>
        <w:br/>
        <w:t xml:space="preserve">Témakörök: Applied computing~Chemistry, Applied computing~Bioinformatics, Theory of computation~Machine learning theory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328604">
    <w:multiLevelType w:val="hybridMultilevel"/>
    <w:lvl w:ilvl="0" w:tplc="738843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328604">
    <w:abstractNumId w:val="5532860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70489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