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RIETH JÁZMIN ANASZTÁZIA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rieth.jazmin@gmail.com</w:t>
            </w:r>
            <w:r w:rsidRPr="001067CD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Halász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Extrém poliploid babérmeggyfajták genetikai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Prunus laurocerasus L., Babérmeggy, SSR, Genetikai variabilitás,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Rosaceae családba tartozó poliploid babérmeggy nemesítésével sokan foglalkoznak, de a faj genetikai háttere extrém nagy ploidszintje miatt alig ismert. Hazánkban dísznövényként hasznosítjuk, de Törökországban gyümölcstermő változatait is termesztik. A nemesítési munkát jelentős mértékben segítheti a molekuláris markerekkel végzett elemzés.</w:t>
      </w:r>
      <w:r>
        <w:rPr>
          <w:color w:val="000000"/>
          <w:sz w:val="24"/>
          <w:szCs w:val="24"/>
        </w:rPr>
        <w:br/>
        <w:t xml:space="preserve">  Összesen 43 genotípust vizsgáltunk, melyből 33 dísznövényként termesztett fajta, 10 gyümölcstermő szelektált egyed  volt. Kodomináns 10 mikroszatellit (SSR) markert használtuk és az önmeddőséget meghatározó lókuszban található ribonukleáz gén allélváltozatait azonosítottuk. A pontos fragmentumméretet ABI PRISM 3100 Genetic Analyzer készülékkel határoztattuk meg, majd az adatokat a Peak Scanner 3.0, Paleontological Statistics (PAST) v.4.03 és GenALEx6.5 szoftverekkel értékeltük ki. A 11 lókusz mindegyike polimorfnak bizonyult. Összesen 499 SSR allélt mutattunk ki, a dísznövényként termesztett babérmeggyeknél 434 allélt, vagyis átlagosan 13,5, a gyümölcstermőknél 272 allélt, átlagosan 27,2 allélt detektáltunk. A lókuszonkénti átlagos allélszám 45,36 volt. A legtöbb allélt a CPSCT021-es és a BPPCT039-es és a CPDCT044-es lókuszokban találtuk (58-65-77), a legkisebb allélszámot a trinukleotidos ismétlődő motívumokat tartalmazó ASSR63 lókusz adta (mindösszesen 5 allél). Egyedenként valamennyi lókusz esetében 1-18 számú allélt figyeltünk meg. A 11 lókusz összességében 99 - 283 bp közötti allélméret-tartományt adott, a legnagyobb tartományt a CPDCT044 lókusz mutatta (105–283 bp) míg a legkisebbet az ASSR63 lókuszban detektáltuk (156-169 bp). A  PAST és PCA  analízis három fő csoportba sorolta a vizsgált genotípusokat. A gyümölcstermő minták teljesen elkülönülnek a dísznövényként termesztett babérmeggyektől, mert a török genotípusok a nagy variabilitást mutató géncentrum vadon nővő állományaiból lettek kiemelve, illetve a kétféle hasznosítási módra alkalmas változatok nemesítése során használt, merőben eltérő szelekciós szempontok következménye. A magyar nemesítésű dísznövények többsége közös csoportba rendeződött. Eredményeink alapján a bérmeggy vizsgált genotípusai széles genetikai háttérből származnak. Az allélgyakoriságok analízise nagy genetikai variabilitást tárt fel mind a dísznövényként, mind a gyümölcstermő egyedek esetében, ami összhangban áll a poliploid genommal és valószínűsíti a faj idegentermékenyülő fenotípusát.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98188">
    <w:multiLevelType w:val="hybridMultilevel"/>
    <w:lvl w:ilvl="0" w:tplc="55984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98188">
    <w:abstractNumId w:val="87598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713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