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 DORINA RADÓCZ</w:t>
            </w:r>
          </w:p>
          <w:p w:rsidR="00C275A3" w:rsidRDefault="00CA6B74" w:rsidP="00C275A3">
            <w:pPr>
              <w:pStyle w:val="Hallgatokepzes"/>
            </w:pPr>
            <w:r w:rsidRPr="001067CD">
              <w:rPr>
                <w:i/>
              </w:rPr>
              <w:t>rrd.bp16@gmail.com</w:t>
            </w:r>
            <w:r w:rsidRPr="001067CD">
              <w:rPr>
                <w:i/>
              </w:rPr>
              <w:br/>
            </w:r>
            <w:r w:rsidR="00A96AEC">
              <w:t>Management and Leadership</w:t>
            </w:r>
            <w:r w:rsidR="00A96AEC">
              <w:br/>
            </w:r>
            <w:r w:rsidR="00E77B23">
              <w:t>MSc, 3. semester</w:t>
            </w:r>
          </w:p>
          <w:p w:rsidR="00C265CE" w:rsidRPr="009E5FF1" w:rsidRDefault="00E77B23" w:rsidP="00BA6BAF">
            <w:pPr>
              <w:pStyle w:val="Hallgatointezmeny-kar"/>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Tamás Iványi</w:t>
            </w:r>
          </w:p>
          <w:p w:rsidR="00DB4822" w:rsidRDefault="00DB4822" w:rsidP="00BA6BAF">
            <w:pPr>
              <w:pStyle w:val="Konzulensektitulus"/>
            </w:pPr>
            <w:r w:rsidRPr="00DB4822">
              <w:t>senior lecturer,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the impact of technostress and default nudging incentives on consumers' willingness to offset CO2</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Technostress, default nudging, CO2 compensation</w:t>
      </w:r>
      <w:r>
        <w:t xml:space="preserve"/>
      </w:r>
    </w:p>
    <w:p>
      <w:pPr>
        <w:widowControl w:val="on"/>
        <w:pBdr/>
        <w:spacing w:before="240" w:after="240" w:line="240" w:lineRule="auto"/>
        <w:ind w:left="0" w:right="0"/>
        <w:jc w:val="left"/>
      </w:pPr>
      <w:r>
        <w:rPr>
          <w:color w:val="000000"/>
          <w:sz w:val="24"/>
          <w:szCs w:val="24"/>
        </w:rPr>
        <w:t xml:space="preserve">In today's fast-paced world, tackling climate change is a pressing challenge and understanding the effectiveness of interventions in consumer behaviour can help support sustainable choices. These choices can also be influenced by technostress and default nudging. </w:t>
      </w:r>
    </w:p>
    <w:p>
      <w:pPr>
        <w:widowControl w:val="on"/>
        <w:pBdr/>
        <w:spacing w:before="240" w:after="240" w:line="240" w:lineRule="auto"/>
        <w:ind w:left="0" w:right="0"/>
        <w:jc w:val="left"/>
      </w:pPr>
      <w:r>
        <w:rPr>
          <w:color w:val="000000"/>
          <w:sz w:val="24"/>
          <w:szCs w:val="24"/>
        </w:rPr>
        <w:t xml:space="preserve">In my research, I investigate quantitatively, by analysing part of an omnibus questionnaire, the impact of default nudging on a typical behavioural step of consumers, the willingness to offset CO2, and whether technostress influences this effect. </w:t>
      </w:r>
    </w:p>
    <w:p>
      <w:pPr>
        <w:widowControl w:val="on"/>
        <w:pBdr/>
        <w:spacing w:before="240" w:after="240" w:line="240" w:lineRule="auto"/>
        <w:ind w:left="0" w:right="0"/>
        <w:jc w:val="left"/>
      </w:pPr>
      <w:r>
        <w:rPr>
          <w:color w:val="000000"/>
          <w:sz w:val="24"/>
          <w:szCs w:val="24"/>
        </w:rPr>
        <w:t xml:space="preserve">The analysis of the moderating effect can provide precise quantitative results that can form the basis for optimising decision making processes. The analysis of the questionnaire results suggests that default nudging per se has a positive effect on CO2 offsetting and can be an effective tool to encourage CO2 offsetting behaviour, but that the moderating effect of technostress was not detected in the current sample.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900350">
    <w:multiLevelType w:val="hybridMultilevel"/>
    <w:lvl w:ilvl="0" w:tplc="940496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900350">
    <w:abstractNumId w:val="499003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08710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