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KREBS ÁRON ANTAL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krebsaron15@gmail.com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Békési Gergő Bendegúz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Idősoros mély neurális hálók és Mixture Density Network alapú részvényárfolyam előrejelzés ensemble modellek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részvény előrejelzés, Mixture Density Network, MDN, ensemble modellek, idősoros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nagyobb figyelmet kap a mesterséges intelligencia alkalmazása a pénzügyi szektorban, különösen a részvényárfolyamok előrejelzésében. Jelen tanulmány újszerű megközelítést mutat be, amelyben fejlett neurális hálózati architektúrákat, mint a Long Short-Term Memory, Gated Recurrent Units, self-attention és Mixture Density Network, nemcsak önállóan, hanem különféle soros és párhuzamos kombinációkban is alkalmaztam a SONY japán részvény árfolyamának előrejelzésére.</w:t>
      </w:r>
      <w:r>
        <w:rPr>
          <w:color w:val="000000"/>
          <w:sz w:val="24"/>
          <w:szCs w:val="24"/>
        </w:rPr>
        <w:br/>
        <w:t xml:space="preserve">Az innovációs érték abban rejlik, hogy a modellek együttes hatását vizsgáltam, ami lehetővé tette a komplex időbeli és nemlineáris összefüggések hatékonyabb feltárását. Különösen újszerű, hogy a Mixture Density Network réteg kimeneteit a szakirodalomban eddig nem alkalmazott módon dolgoztam fel. Ez a megközelítés lehetővé tette a jövőbeli árak eloszlásának előrejelzését, ami a bizonytalanságok jobb kezelését és a kockázatkezelés hatékonyságának növelését eredményezte.</w:t>
      </w:r>
      <w:r>
        <w:rPr>
          <w:color w:val="000000"/>
          <w:sz w:val="24"/>
          <w:szCs w:val="24"/>
        </w:rPr>
        <w:br/>
        <w:t xml:space="preserve">A módszertan erőssége az Optuna hiperparaméter-optimalizáló alkalmazásában rejlik, valamint a szigorú train-validation-test és backtesting folyamatban, amely biztosította az eredmények robusztusságát és skálázhatóságát. A különböző stratégiák, mint a CDF-alapú, súlyozott várható érték és variancia, valamint az 1-Sigma stratégia, összehasonlítása során a CDF-alapú megközelítés bizonyult a legeredményesebbnek, a teszt adathalmazon elért legmagasabb Sharpe-mutatóval (1,3888).</w:t>
      </w:r>
      <w:r>
        <w:rPr>
          <w:color w:val="000000"/>
          <w:sz w:val="24"/>
          <w:szCs w:val="24"/>
        </w:rPr>
        <w:br/>
        <w:t xml:space="preserve">Fontos kiemelni, hogy míg az eddigi kutatások többsége az amerikai tőzsdék részvényeire fókuszált, ez a tanulmány a SONY japán részvényre irányult, ami tovább növeli a munka újszerűségét és relevanciáját.</w:t>
      </w:r>
      <w:r>
        <w:rPr>
          <w:color w:val="000000"/>
          <w:sz w:val="24"/>
          <w:szCs w:val="24"/>
        </w:rPr>
        <w:br/>
        <w:t xml:space="preserve">A dolgozat témája korszerű és nem lezárt. A mesterséges intelligencia és a pénzügyi előrejelzés metszéspontjában helyezkedik el, amely terület magas szintű, tudományos és elmélyült tudást igényel.</w:t>
      </w:r>
      <w:r>
        <w:rPr>
          <w:color w:val="000000"/>
          <w:sz w:val="24"/>
          <w:szCs w:val="24"/>
        </w:rPr>
        <w:br/>
        <w:t xml:space="preserve">A jövőbeni fejlesztési lehetőségek között szerepel további technikai indikátorok bevonása, a stratégiák finomítása, különösen a stop loss és take profit szintek meghatározásában, valamint az időintervallumok módosítása kisebb léptékű adatok bevonásával. Ezenfelül az architektúra továbbfejlesztése, például ResNet típusú hálózatok vagy Transformer encoder-decoder modellek alkalmazása is ígéretes irány lehet.</w:t>
      </w:r>
      <w:r>
        <w:rPr>
          <w:color w:val="000000"/>
          <w:sz w:val="24"/>
          <w:szCs w:val="24"/>
        </w:rPr>
        <w:br/>
        <w:t xml:space="preserve">Összefoglalva a tanulmány nemcsak újszerű ipari megoldásokat mutat be, hanem integrálja a szakterületen releváns kutatási eredményeket is, ezzel gazdagítva a pénzügyi előrejelzés és a gépi tanulás területét.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76524">
    <w:multiLevelType w:val="hybridMultilevel"/>
    <w:lvl w:ilvl="0" w:tplc="6865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76524">
    <w:abstractNumId w:val="78976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158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