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KOVICS ADÉL LILLA</w:t>
            </w:r>
          </w:p>
          <w:p w:rsidR="00C275A3" w:rsidRDefault="00CA6B74" w:rsidP="00C275A3">
            <w:pPr>
              <w:pStyle w:val="Hallgatokepzes"/>
            </w:pPr>
            <w:r w:rsidRPr="001067CD">
              <w:rPr>
                <w:i/>
              </w:rPr>
              <w:t>adel.kovics@gmail.com</w:t>
            </w:r>
            <w:r w:rsidRPr="001067CD">
              <w:rPr>
                <w:i/>
              </w:rPr>
              <w:br/>
            </w:r>
            <w:r w:rsidR="00A96AEC">
              <w:t>Nemzetközi Gazdálkodás</w:t>
            </w:r>
            <w:r w:rsidR="00A96AEC">
              <w:br/>
            </w:r>
            <w:r w:rsidR="00E77B23">
              <w:t>BA, 7.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Mezei Kitti</w:t>
            </w:r>
          </w:p>
          <w:p w:rsidR="00DB4822" w:rsidRDefault="00DB4822" w:rsidP="00BA6BAF">
            <w:pPr>
              <w:pStyle w:val="Konzulensektitulus"/>
            </w:pPr>
            <w:r w:rsidRPr="00DB4822">
              <w:t>egyetemi 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virtuális fizetőeszközök jogi szabályozása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kriptovaluta, jogi szabályozás, jogi kihívás, pénzmosás, terrorizmusfinanszírozás</w:t>
      </w:r>
      <w:r>
        <w:t xml:space="preserve"/>
      </w:r>
    </w:p>
    <w:p>
      <w:pPr>
        <w:widowControl w:val="on"/>
        <w:pBdr/>
        <w:spacing w:before="240" w:after="240" w:line="240" w:lineRule="auto"/>
        <w:ind w:left="0" w:right="0"/>
        <w:jc w:val="left"/>
      </w:pPr>
      <w:r>
        <w:rPr>
          <w:color w:val="000000"/>
          <w:sz w:val="24"/>
          <w:szCs w:val="24"/>
        </w:rPr>
        <w:t xml:space="preserve">A virtuális fizetőeszközök, ezen kategórián belül pedig a kriptovaluták az elmúlt évtized talán egyik legmegosztóbb kérdéskörével rendelkeznek a jogalkotók körében. A masszívan népszerűvé vált kriptovaluták természetükből adódóan nem sorolhatók be és nem definiálhatóak konkrétan egy pontos kategóriába, ezért használatuknak szabályozása rendkívül nehezen indult el és számos megközelítés is született. Pénzek, értéknek, adatnak vagy egy befektetési formának kellene őket tekinteni? Dolgozatomban főként ezekre a kérdésekre keresem a választ a jelenlegi jogi álláspont bemutatásával. Az Európai Tanács 2023. május 31-én fogadta el a kriptaeszközök piacairól (MiCA) szóló rendeletét, mely jelentősen megváltoztatja a piac működését, a kriptokibocsátóknak és felhasználóknak egyaránt egy új perspektívához kell alkalmazkodniuk az Unió tagállamaiban. A jogszabály elemzésével bemutatom azt, hogy milyen hatása van az új rendeletnek a piac résztvevőire, milyen új intézkedéseket kell bevezetniük akár a cégeknek és felhasználóknak a mindennapi tevékenységeikben, továbbá mennyire érzik hatékonynak eddig rövid idő elteltével az új rendeletet?</w:t>
      </w:r>
    </w:p>
    <w:p>
      <w:pPr>
        <w:widowControl w:val="on"/>
        <w:pBdr/>
        <w:spacing w:before="240" w:after="240" w:line="240" w:lineRule="auto"/>
        <w:ind w:left="0" w:right="0"/>
        <w:jc w:val="left"/>
      </w:pPr>
      <w:r>
        <w:rPr>
          <w:color w:val="000000"/>
          <w:sz w:val="24"/>
          <w:szCs w:val="24"/>
        </w:rPr>
        <w:t xml:space="preserve">Tulajdonképpen miért is volt ennyire fontos, hogy egy egységes álláspontot és szabályozási rendszert alakítsanak ki a jogalkotók? A kriptavalutákkal elkövetett bűncselekmények az elmúlt években exponenciálisan növekedtek, főként a szabályozás hiányának kihasználása miatt. A legfőbb bűncselekmények közé tartozik a pénzmosás és az ehhez szorosan kapcsolódó terrorizmusfinanszírozás is. Dolgozatomban részletesen kitérek arra, hogy a bűnelkövetők milyen mechanizmus által használták fel az újonnan népszerűvé vált valutákat konkrét jogeset bemutatásával egybevéve. Továbbá, a szabályozást tekintve ugyan egy nagyon új keletű dologról van még szó, a tendenciát és statisztikai adatokat figyelembe véve egy előrejelzést adok arról, hogy mi várható a jövőben a kriptavaluták használatát illetően.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09931">
    <w:multiLevelType w:val="hybridMultilevel"/>
    <w:lvl w:ilvl="0" w:tplc="21445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09931">
    <w:abstractNumId w:val="60309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47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