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ADEL LILLA KOVICS</w:t>
            </w:r>
          </w:p>
          <w:p w:rsidR="00C275A3" w:rsidRDefault="00CA6B74" w:rsidP="00C275A3">
            <w:pPr>
              <w:pStyle w:val="Hallgatokepzes"/>
            </w:pPr>
            <w:r w:rsidRPr="001067CD">
              <w:rPr>
                <w:i/>
              </w:rPr>
              <w:t>adel.kovics@gmail.com</w:t>
            </w:r>
            <w:r w:rsidRPr="001067CD">
              <w:rPr>
                <w:i/>
              </w:rPr>
              <w:br/>
            </w:r>
            <w:r w:rsidR="00A96AEC">
              <w:t>International Business and Economics</w:t>
            </w:r>
            <w:r w:rsidR="00A96AEC">
              <w:br/>
            </w:r>
            <w:r w:rsidR="00E77B23">
              <w:t>BA, 7.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Kitti Dr. Mezei</w:t>
            </w:r>
          </w:p>
          <w:p w:rsidR="00DB4822" w:rsidRDefault="00DB4822" w:rsidP="00BA6BAF">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legal regulation of virtual payments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law regulation, legal challenges, money laundering, terrorism financing, cryptocurrencies</w:t>
      </w:r>
      <w:r>
        <w:t xml:space="preserve"/>
      </w:r>
    </w:p>
    <w:p>
      <w:pPr>
        <w:widowControl w:val="on"/>
        <w:pBdr/>
        <w:spacing w:before="240" w:after="240" w:line="240" w:lineRule="auto"/>
        <w:ind w:left="0" w:right="0"/>
        <w:jc w:val="left"/>
      </w:pPr>
      <w:r>
        <w:rPr>
          <w:color w:val="000000"/>
          <w:sz w:val="24"/>
          <w:szCs w:val="24"/>
        </w:rPr>
        <w:t xml:space="preserve">Virtual currencies, and within them cryptocurrencies, have been perhaps one of the most controversial issues among regulators in the last decade. Cryptocurrencies, which have become extremely popular, are by their very nature not easily categorised or defined into a specific category, and therefore the regulation of their use has been extremely difficult to start with and has been the subject of a number of approaches. Should they be considered as money, value, data or a form of investment? In my study, I mainly seek to answer these questions by presenting the current legal approach. On 31 May 2023, the European Council adopted the Markets in Crypto Assets Regulation (MiCA), which will significantly change the way the market operates, with crypto issuers and consumers alike having to adapt to a new perspective in the EU. By analysing the law, I will show the impact of the new regulation on market participants, what new measures do firms and consumers need to introduce in their day-to-day activities, and how effective do they feel the regulation has been so far after a short period of time?</w:t>
      </w:r>
    </w:p>
    <w:p>
      <w:pPr>
        <w:widowControl w:val="on"/>
        <w:pBdr/>
        <w:spacing w:before="240" w:after="240" w:line="240" w:lineRule="auto"/>
        <w:ind w:left="0" w:right="0"/>
        <w:jc w:val="left"/>
      </w:pPr>
      <w:r>
        <w:rPr>
          <w:color w:val="000000"/>
          <w:sz w:val="24"/>
          <w:szCs w:val="24"/>
        </w:rPr>
        <w:t xml:space="preserve">In fact, why was it so important for lawmakers to develop a common view and regulatory framework? Crimes committed with cryptocurrencies have increased exponentially in recent years, mainly due to the exploitation of the lack of regulation. The main crimes include money laundering and closely related terrorist financing. In my work, I will examine in detail the mechanism by which criminals have used the newly popular currencies, along with a particular case study. Furthermore, whilst it is still a very recent issue in terms of regulation, I will provide a forecast of what can be expected in the future in terms of the use of cryptocurrencies, taking into account trends and statistics.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63447">
    <w:multiLevelType w:val="hybridMultilevel"/>
    <w:lvl w:ilvl="0" w:tplc="14065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63447">
    <w:abstractNumId w:val="16663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70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