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VARGA</w:t>
            </w:r>
          </w:p>
          <w:p w:rsidR="00C275A3" w:rsidRDefault="00CA6B74" w:rsidP="00C275A3">
            <w:pPr>
              <w:pStyle w:val="Hallgatokepzes"/>
            </w:pPr>
            <w:r w:rsidRPr="001067CD">
              <w:rPr>
                <w:i/>
              </w:rPr>
              <w:t>vargalev26@gmail.com</w:t>
            </w:r>
            <w:r w:rsidRPr="001067CD">
              <w:rPr>
                <w:i/>
              </w:rPr>
              <w:br/>
            </w:r>
            <w:r w:rsidR="00A96AEC">
              <w:t>Teacher of Economics</w:t>
            </w:r>
            <w:r w:rsidR="00A96AEC">
              <w:br/>
            </w:r>
            <w:r w:rsidR="00E77B23">
              <w:t>MSc, 1. semester</w:t>
            </w:r>
          </w:p>
          <w:p w:rsidR="00C265CE" w:rsidRPr="009E5FF1" w:rsidRDefault="00E77B23" w:rsidP="00BA6BAF">
            <w:pPr>
              <w:pStyle w:val="Hallgatointezmeny-kar"/>
              <w:rPr>
                <w:b/>
                <w:caps/>
              </w:rPr>
            </w:pPr>
            <w:r>
              <w:t>Budapest University of Technology and Economics</w:t>
            </w:r>
            <w:r w:rsidR="00C275A3">
              <w:br/>
            </w:r>
            <w:r w:rsidR="00DB4822">
              <w:t>Faculty of Economic and Social Sciences</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Zsuzsanna Novák, PhD</w:t>
            </w:r>
          </w:p>
          <w:p w:rsidR="00DB4822" w:rsidRDefault="00DB4822" w:rsidP="00BA6BAF">
            <w:pPr>
              <w:pStyle w:val="Konzulensektitulus"/>
            </w:pPr>
            <w:r w:rsidRPr="00DB4822">
              <w:t>associate professor, BME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Low Interest Rates, Stagnant Growth - An Analysis of the Anomalous Internal Linkages in the Japanese Economy</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economic stagnation; negative interest rate policy; deflation; liquidity trap</w:t>
      </w:r>
      <w:r>
        <w:t xml:space="preserve"/>
      </w:r>
    </w:p>
    <w:p>
      <w:pPr>
        <w:widowControl w:val="on"/>
        <w:pBdr/>
        <w:spacing w:before="240" w:after="240" w:line="240" w:lineRule="auto"/>
        <w:ind w:left="0" w:right="0"/>
        <w:jc w:val="left"/>
      </w:pPr>
      <w:r>
        <w:rPr>
          <w:color w:val="000000"/>
          <w:sz w:val="24"/>
          <w:szCs w:val="24"/>
        </w:rPr>
        <w:t xml:space="preserve">The conventional economic view is that low base rates at the central bank lead to low lending and deposit rates, which reduce savings and increase lending. Increased credit outstanding can serve as a source of investment stimulus, leading to lower unemployment and expanding economic growth, which will eventually lead to higher inflation.</w:t>
      </w:r>
    </w:p>
    <w:p>
      <w:pPr>
        <w:widowControl w:val="on"/>
        <w:pBdr/>
        <w:spacing w:before="240" w:after="240" w:line="240" w:lineRule="auto"/>
        <w:ind w:left="0" w:right="0"/>
        <w:jc w:val="left"/>
      </w:pPr>
      <w:r>
        <w:rPr>
          <w:color w:val="000000"/>
          <w:sz w:val="24"/>
          <w:szCs w:val="24"/>
        </w:rPr>
        <w:t xml:space="preserve">In comparison, Japan has had low, or even near-zero and negative interest rates since the early 1990s, yet there persistently lingers the problem of the combination of low economic growth and low inflation. Fiscal policy responses and social spending to address/as a remedy for the global financial crisis and the Fukushima disaster have pushed public debt to near 'world record' levels, while the island nation is also grappling with other challenges of demographic nature.</w:t>
      </w:r>
    </w:p>
    <w:p>
      <w:pPr>
        <w:widowControl w:val="on"/>
        <w:pBdr/>
        <w:spacing w:before="240" w:after="240" w:line="240" w:lineRule="auto"/>
        <w:ind w:left="0" w:right="0"/>
        <w:jc w:val="left"/>
      </w:pPr>
      <w:r>
        <w:rPr>
          <w:color w:val="000000"/>
          <w:sz w:val="24"/>
          <w:szCs w:val="24"/>
        </w:rPr>
        <w:t xml:space="preserve">Examining such specific economic situations can provide an opportunity to make a more nuanced judgement on "normally" functioning economies, as well as to test macroeconomic theories and to better understand the possibilities and limits of monetary and fiscal policy. The paper therefore focuses on the analysis of the internal context and processes of the Japanese economy from the 1990s to the present.</w:t>
      </w:r>
    </w:p>
    <w:p>
      <w:pPr>
        <w:widowControl w:val="on"/>
        <w:pBdr/>
        <w:spacing w:before="240" w:after="240" w:line="240" w:lineRule="auto"/>
        <w:ind w:left="0" w:right="0"/>
        <w:jc w:val="left"/>
      </w:pPr>
      <w:r>
        <w:rPr>
          <w:color w:val="000000"/>
          <w:sz w:val="24"/>
          <w:szCs w:val="24"/>
        </w:rPr>
        <w:t xml:space="preserve">The main question of the research is how the Japanese economy could be put on a healthy expansion path. To shed light on this, several macroeconomic indicators and characteristics are examined. The empirical analysis of economic parameters is carried out using vector error correction models (VECM), which allow for a joint study of short-term dynamics and long-term equilibrium conditions.</w:t>
      </w:r>
    </w:p>
    <w:p>
      <w:pPr>
        <w:widowControl w:val="on"/>
        <w:pBdr/>
        <w:spacing w:before="240" w:after="240" w:line="240" w:lineRule="auto"/>
        <w:ind w:left="0" w:right="0"/>
        <w:jc w:val="left"/>
      </w:pPr>
      <w:r>
        <w:rPr>
          <w:color w:val="000000"/>
          <w:sz w:val="24"/>
          <w:szCs w:val="24"/>
        </w:rPr>
        <w:t xml:space="preserve">The empirical analysis also incorporates Richard A. Werner's new macroeconomic perspective. This argues that the focus of monetary policy should shift from interest rate policy to a stronger coordination of the financing of the economy, since in the long run only a boost to innovative and productive investment can improve the conditions of a sustainable economy.</w:t>
      </w:r>
    </w:p>
    <w:p>
      <w:pPr>
        <w:widowControl w:val="on"/>
        <w:pBdr/>
        <w:spacing w:before="240" w:after="240" w:line="240" w:lineRule="auto"/>
        <w:ind w:left="0" w:right="0"/>
        <w:jc w:val="left"/>
      </w:pPr>
      <w:r>
        <w:rPr>
          <w:color w:val="000000"/>
          <w:sz w:val="24"/>
          <w:szCs w:val="24"/>
        </w:rPr>
        <w:t xml:space="preserve">The research confirms the view, already expressed by many, that there is a need to continuously rethink the framework for monetary policy in different economic periods.</w:t>
      </w:r>
    </w:p>
    <w:p>
      <w:pPr>
        <w:widowControl w:val="on"/>
        <w:pBdr/>
        <w:spacing w:before="240" w:after="240" w:line="240" w:lineRule="auto"/>
        <w:ind w:left="0" w:right="0"/>
        <w:jc w:val="left"/>
      </w:pPr>
      <w:r>
        <w:rPr>
          <w:color w:val="000000"/>
          <w:sz w:val="24"/>
          <w:szCs w:val="24"/>
        </w:rPr>
        <w:t xml:space="preserve">Project no. EKÖP-24-2 has been implemented with the support provided by the Ministry of Culture and Innovation of Hungary from the National Research, Development and Innovation Fund, financed under the EKÖP-24-2-BME-165 funding scheme.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020259">
    <w:multiLevelType w:val="hybridMultilevel"/>
    <w:lvl w:ilvl="0" w:tplc="722636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020259">
    <w:abstractNumId w:val="2902025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5864295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